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gliatabella"/>
        <w:tblW w:w="0" w:type="auto"/>
        <w:jc w:val="center"/>
        <w:tblLook w:val="04A0" w:firstRow="1" w:lastRow="0" w:firstColumn="1" w:lastColumn="0" w:noHBand="0" w:noVBand="1"/>
      </w:tblPr>
      <w:tblGrid>
        <w:gridCol w:w="4103"/>
        <w:gridCol w:w="4240"/>
      </w:tblGrid>
      <w:tr w:rsidR="00D9032B" w:rsidRPr="0053371E" w14:paraId="41875BDF" w14:textId="77777777" w:rsidTr="00D9032B">
        <w:trPr>
          <w:trHeight w:val="135"/>
          <w:jc w:val="center"/>
        </w:trPr>
        <w:tc>
          <w:tcPr>
            <w:tcW w:w="4103" w:type="dxa"/>
            <w:tcBorders>
              <w:top w:val="nil"/>
              <w:left w:val="nil"/>
              <w:bottom w:val="nil"/>
              <w:right w:val="nil"/>
            </w:tcBorders>
            <w:vAlign w:val="center"/>
          </w:tcPr>
          <w:p w14:paraId="044AC76A" w14:textId="77777777" w:rsidR="00D9032B" w:rsidRPr="0053371E" w:rsidRDefault="00D9032B" w:rsidP="00BF6708">
            <w:pPr>
              <w:pStyle w:val="Categoria"/>
              <w:rPr>
                <w:rFonts w:ascii="Times New Roman" w:hAnsi="Times New Roman"/>
                <w:sz w:val="24"/>
                <w:szCs w:val="24"/>
              </w:rPr>
            </w:pPr>
            <w:r w:rsidRPr="0053371E">
              <w:rPr>
                <w:rFonts w:ascii="Times New Roman" w:hAnsi="Times New Roman"/>
                <w:noProof/>
                <w:sz w:val="24"/>
                <w:szCs w:val="24"/>
                <w:lang w:val="it-IT" w:eastAsia="it-IT"/>
              </w:rPr>
              <w:drawing>
                <wp:anchor distT="0" distB="0" distL="114300" distR="114300" simplePos="0" relativeHeight="251656192" behindDoc="0" locked="0" layoutInCell="1" allowOverlap="1" wp14:anchorId="0D808BD7" wp14:editId="17816A6F">
                  <wp:simplePos x="0" y="0"/>
                  <wp:positionH relativeFrom="column">
                    <wp:posOffset>-66675</wp:posOffset>
                  </wp:positionH>
                  <wp:positionV relativeFrom="paragraph">
                    <wp:posOffset>141605</wp:posOffset>
                  </wp:positionV>
                  <wp:extent cx="2196000" cy="744128"/>
                  <wp:effectExtent l="0" t="0" r="0" b="0"/>
                  <wp:wrapNone/>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magine 4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96000" cy="744128"/>
                          </a:xfrm>
                          <a:prstGeom prst="rect">
                            <a:avLst/>
                          </a:prstGeom>
                        </pic:spPr>
                      </pic:pic>
                    </a:graphicData>
                  </a:graphic>
                </wp:anchor>
              </w:drawing>
            </w:r>
          </w:p>
        </w:tc>
        <w:tc>
          <w:tcPr>
            <w:tcW w:w="4240" w:type="dxa"/>
            <w:tcBorders>
              <w:top w:val="nil"/>
              <w:left w:val="nil"/>
              <w:bottom w:val="nil"/>
              <w:right w:val="nil"/>
            </w:tcBorders>
            <w:vAlign w:val="center"/>
          </w:tcPr>
          <w:p w14:paraId="43D0EFAB" w14:textId="77777777" w:rsidR="00D9032B" w:rsidRPr="0053371E" w:rsidRDefault="00D9032B" w:rsidP="00BF6708">
            <w:pPr>
              <w:pStyle w:val="Data1"/>
              <w:jc w:val="right"/>
              <w:rPr>
                <w:rFonts w:ascii="Times New Roman" w:hAnsi="Times New Roman"/>
                <w:sz w:val="24"/>
                <w:szCs w:val="24"/>
              </w:rPr>
            </w:pPr>
          </w:p>
        </w:tc>
      </w:tr>
      <w:tr w:rsidR="00D9032B" w:rsidRPr="0053371E" w14:paraId="590644C1" w14:textId="77777777" w:rsidTr="00D9032B">
        <w:trPr>
          <w:trHeight w:val="125"/>
          <w:jc w:val="center"/>
        </w:trPr>
        <w:tc>
          <w:tcPr>
            <w:tcW w:w="4103" w:type="dxa"/>
            <w:tcBorders>
              <w:top w:val="nil"/>
              <w:left w:val="nil"/>
              <w:bottom w:val="single" w:sz="36" w:space="0" w:color="FFFFFF" w:themeColor="background1"/>
              <w:right w:val="nil"/>
            </w:tcBorders>
            <w:vAlign w:val="center"/>
          </w:tcPr>
          <w:p w14:paraId="00DC514F" w14:textId="77777777" w:rsidR="00D9032B" w:rsidRPr="0053371E" w:rsidRDefault="00D9032B" w:rsidP="00BF6708">
            <w:pPr>
              <w:pStyle w:val="Categoria"/>
              <w:rPr>
                <w:rFonts w:ascii="Times New Roman" w:hAnsi="Times New Roman"/>
                <w:sz w:val="24"/>
                <w:szCs w:val="24"/>
              </w:rPr>
            </w:pPr>
          </w:p>
        </w:tc>
        <w:tc>
          <w:tcPr>
            <w:tcW w:w="4240" w:type="dxa"/>
            <w:tcBorders>
              <w:top w:val="nil"/>
              <w:left w:val="nil"/>
              <w:bottom w:val="single" w:sz="36" w:space="0" w:color="FFFFFF" w:themeColor="background1"/>
              <w:right w:val="nil"/>
            </w:tcBorders>
            <w:vAlign w:val="center"/>
          </w:tcPr>
          <w:p w14:paraId="1F27E844" w14:textId="77777777" w:rsidR="00D9032B" w:rsidRPr="0053371E" w:rsidRDefault="00D9032B" w:rsidP="00BF6708">
            <w:pPr>
              <w:pStyle w:val="Data1"/>
              <w:jc w:val="right"/>
              <w:rPr>
                <w:rFonts w:ascii="Times New Roman" w:hAnsi="Times New Roman"/>
                <w:sz w:val="24"/>
                <w:szCs w:val="24"/>
              </w:rPr>
            </w:pPr>
          </w:p>
        </w:tc>
      </w:tr>
      <w:tr w:rsidR="00D9032B" w:rsidRPr="0053371E" w14:paraId="50B7D949" w14:textId="77777777" w:rsidTr="00D9032B">
        <w:trPr>
          <w:trHeight w:val="125"/>
          <w:jc w:val="center"/>
        </w:trPr>
        <w:tc>
          <w:tcPr>
            <w:tcW w:w="4103" w:type="dxa"/>
            <w:tcBorders>
              <w:top w:val="nil"/>
              <w:left w:val="nil"/>
              <w:bottom w:val="single" w:sz="36" w:space="0" w:color="FFFFFF" w:themeColor="background1"/>
              <w:right w:val="nil"/>
            </w:tcBorders>
            <w:vAlign w:val="center"/>
          </w:tcPr>
          <w:p w14:paraId="60889377" w14:textId="77777777" w:rsidR="00D9032B" w:rsidRPr="0053371E" w:rsidRDefault="00D9032B" w:rsidP="00BF6708">
            <w:pPr>
              <w:pStyle w:val="Categoria"/>
              <w:rPr>
                <w:rFonts w:ascii="Times New Roman" w:hAnsi="Times New Roman"/>
                <w:sz w:val="24"/>
                <w:szCs w:val="24"/>
              </w:rPr>
            </w:pPr>
          </w:p>
        </w:tc>
        <w:tc>
          <w:tcPr>
            <w:tcW w:w="4240" w:type="dxa"/>
            <w:tcBorders>
              <w:top w:val="nil"/>
              <w:left w:val="nil"/>
              <w:bottom w:val="single" w:sz="36" w:space="0" w:color="FFFFFF" w:themeColor="background1"/>
              <w:right w:val="nil"/>
            </w:tcBorders>
            <w:vAlign w:val="center"/>
          </w:tcPr>
          <w:p w14:paraId="728E1B3D" w14:textId="77777777" w:rsidR="00D9032B" w:rsidRPr="0053371E" w:rsidRDefault="00FA3980" w:rsidP="00BF6708">
            <w:pPr>
              <w:pStyle w:val="Data1"/>
              <w:jc w:val="right"/>
              <w:rPr>
                <w:rFonts w:ascii="Times New Roman" w:hAnsi="Times New Roman"/>
                <w:sz w:val="24"/>
                <w:szCs w:val="24"/>
              </w:rPr>
            </w:pPr>
            <w:r w:rsidRPr="0053371E">
              <w:rPr>
                <w:rFonts w:ascii="Times New Roman" w:hAnsi="Times New Roman"/>
                <w:noProof/>
                <w:sz w:val="24"/>
                <w:szCs w:val="24"/>
                <w:lang w:val="it-IT" w:eastAsia="it-IT"/>
              </w:rPr>
              <w:drawing>
                <wp:anchor distT="0" distB="0" distL="114300" distR="114300" simplePos="0" relativeHeight="251659264" behindDoc="0" locked="0" layoutInCell="1" allowOverlap="1" wp14:anchorId="5ADCE80F" wp14:editId="67BF6914">
                  <wp:simplePos x="0" y="0"/>
                  <wp:positionH relativeFrom="column">
                    <wp:posOffset>1191260</wp:posOffset>
                  </wp:positionH>
                  <wp:positionV relativeFrom="paragraph">
                    <wp:posOffset>-417195</wp:posOffset>
                  </wp:positionV>
                  <wp:extent cx="1439545" cy="545465"/>
                  <wp:effectExtent l="0" t="0" r="8255" b="6985"/>
                  <wp:wrapNone/>
                  <wp:docPr id="4"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assets/fnc-doc-assets-assets/logo-fnc.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9545" cy="545465"/>
                          </a:xfrm>
                          <a:prstGeom prst="rect">
                            <a:avLst/>
                          </a:prstGeom>
                          <a:noFill/>
                          <a:ln>
                            <a:noFill/>
                          </a:ln>
                        </pic:spPr>
                      </pic:pic>
                    </a:graphicData>
                  </a:graphic>
                </wp:anchor>
              </w:drawing>
            </w:r>
          </w:p>
        </w:tc>
      </w:tr>
      <w:tr w:rsidR="00D9032B" w:rsidRPr="0053371E" w14:paraId="041607C0" w14:textId="77777777" w:rsidTr="00D9032B">
        <w:trPr>
          <w:trHeight w:val="125"/>
          <w:jc w:val="center"/>
        </w:trPr>
        <w:tc>
          <w:tcPr>
            <w:tcW w:w="4103" w:type="dxa"/>
            <w:tcBorders>
              <w:top w:val="nil"/>
              <w:left w:val="nil"/>
              <w:bottom w:val="single" w:sz="36" w:space="0" w:color="FFFFFF" w:themeColor="background1"/>
              <w:right w:val="nil"/>
            </w:tcBorders>
            <w:vAlign w:val="center"/>
          </w:tcPr>
          <w:p w14:paraId="3817B58A" w14:textId="77777777" w:rsidR="00D9032B" w:rsidRPr="0053371E" w:rsidRDefault="00D9032B" w:rsidP="00BF6708">
            <w:pPr>
              <w:pStyle w:val="Categoria"/>
              <w:rPr>
                <w:rFonts w:ascii="Times New Roman" w:hAnsi="Times New Roman"/>
                <w:sz w:val="24"/>
                <w:szCs w:val="24"/>
              </w:rPr>
            </w:pPr>
          </w:p>
        </w:tc>
        <w:tc>
          <w:tcPr>
            <w:tcW w:w="4240" w:type="dxa"/>
            <w:tcBorders>
              <w:top w:val="nil"/>
              <w:left w:val="nil"/>
              <w:bottom w:val="single" w:sz="36" w:space="0" w:color="FFFFFF" w:themeColor="background1"/>
              <w:right w:val="nil"/>
            </w:tcBorders>
            <w:vAlign w:val="center"/>
          </w:tcPr>
          <w:p w14:paraId="009C37D1" w14:textId="77777777" w:rsidR="00D9032B" w:rsidRPr="0053371E" w:rsidRDefault="00D9032B" w:rsidP="00BF6708">
            <w:pPr>
              <w:pStyle w:val="Data1"/>
              <w:jc w:val="right"/>
              <w:rPr>
                <w:rFonts w:ascii="Times New Roman" w:hAnsi="Times New Roman"/>
                <w:sz w:val="24"/>
                <w:szCs w:val="24"/>
              </w:rPr>
            </w:pPr>
          </w:p>
        </w:tc>
      </w:tr>
      <w:tr w:rsidR="00D9032B" w:rsidRPr="0053371E" w14:paraId="08C077AB" w14:textId="77777777" w:rsidTr="00D9032B">
        <w:trPr>
          <w:trHeight w:val="125"/>
          <w:jc w:val="center"/>
        </w:trPr>
        <w:tc>
          <w:tcPr>
            <w:tcW w:w="4103" w:type="dxa"/>
            <w:tcBorders>
              <w:top w:val="nil"/>
              <w:left w:val="nil"/>
              <w:bottom w:val="single" w:sz="36" w:space="0" w:color="FFFFFF" w:themeColor="background1"/>
              <w:right w:val="nil"/>
            </w:tcBorders>
            <w:vAlign w:val="center"/>
          </w:tcPr>
          <w:p w14:paraId="5C33F46A" w14:textId="77777777" w:rsidR="00D9032B" w:rsidRPr="0053371E" w:rsidRDefault="00D9032B" w:rsidP="00BF6708">
            <w:pPr>
              <w:pStyle w:val="Categoria"/>
              <w:rPr>
                <w:rFonts w:ascii="Times New Roman" w:hAnsi="Times New Roman"/>
                <w:sz w:val="24"/>
                <w:szCs w:val="24"/>
              </w:rPr>
            </w:pPr>
          </w:p>
        </w:tc>
        <w:tc>
          <w:tcPr>
            <w:tcW w:w="4240" w:type="dxa"/>
            <w:tcBorders>
              <w:top w:val="nil"/>
              <w:left w:val="nil"/>
              <w:bottom w:val="single" w:sz="36" w:space="0" w:color="FFFFFF" w:themeColor="background1"/>
              <w:right w:val="nil"/>
            </w:tcBorders>
            <w:vAlign w:val="center"/>
          </w:tcPr>
          <w:p w14:paraId="50347D87" w14:textId="77777777" w:rsidR="00D9032B" w:rsidRPr="0053371E" w:rsidRDefault="00D9032B" w:rsidP="00BF6708">
            <w:pPr>
              <w:pStyle w:val="Data1"/>
              <w:jc w:val="right"/>
              <w:rPr>
                <w:rFonts w:ascii="Times New Roman" w:hAnsi="Times New Roman"/>
                <w:sz w:val="24"/>
                <w:szCs w:val="24"/>
              </w:rPr>
            </w:pPr>
          </w:p>
        </w:tc>
      </w:tr>
      <w:tr w:rsidR="00D9032B" w:rsidRPr="00D0643C" w14:paraId="66B0E864" w14:textId="77777777" w:rsidTr="00D9032B">
        <w:trPr>
          <w:trHeight w:val="125"/>
          <w:jc w:val="center"/>
        </w:trPr>
        <w:tc>
          <w:tcPr>
            <w:tcW w:w="8343" w:type="dxa"/>
            <w:gridSpan w:val="2"/>
            <w:tcBorders>
              <w:top w:val="single" w:sz="36" w:space="0" w:color="FFFFFF" w:themeColor="background1"/>
              <w:left w:val="nil"/>
              <w:bottom w:val="single" w:sz="18" w:space="0" w:color="D9D9D9" w:themeColor="background1" w:themeShade="D9"/>
              <w:right w:val="nil"/>
            </w:tcBorders>
            <w:vAlign w:val="center"/>
          </w:tcPr>
          <w:p w14:paraId="5ABB8382" w14:textId="77777777" w:rsidR="00D9032B" w:rsidRPr="00D0643C" w:rsidRDefault="00D9032B" w:rsidP="00B260D4">
            <w:pPr>
              <w:pStyle w:val="Categoria"/>
              <w:rPr>
                <w:rFonts w:ascii="Garamond" w:hAnsi="Garamond"/>
                <w:caps w:val="0"/>
                <w:smallCaps/>
                <w:sz w:val="36"/>
                <w:szCs w:val="24"/>
              </w:rPr>
            </w:pPr>
            <w:r w:rsidRPr="00D0643C">
              <w:rPr>
                <w:rFonts w:ascii="Garamond" w:hAnsi="Garamond"/>
                <w:caps w:val="0"/>
                <w:smallCaps/>
                <w:sz w:val="36"/>
                <w:szCs w:val="24"/>
              </w:rPr>
              <w:t>Documento di ricerca</w:t>
            </w:r>
          </w:p>
        </w:tc>
      </w:tr>
      <w:tr w:rsidR="00D9032B" w:rsidRPr="0053371E" w14:paraId="4C76C5FF" w14:textId="77777777" w:rsidTr="00D9032B">
        <w:trPr>
          <w:trHeight w:val="134"/>
          <w:jc w:val="center"/>
        </w:trPr>
        <w:tc>
          <w:tcPr>
            <w:tcW w:w="4103" w:type="dxa"/>
            <w:tcBorders>
              <w:top w:val="single" w:sz="18" w:space="0" w:color="D9D9D9" w:themeColor="background1" w:themeShade="D9"/>
              <w:left w:val="nil"/>
              <w:bottom w:val="nil"/>
              <w:right w:val="nil"/>
            </w:tcBorders>
            <w:vAlign w:val="center"/>
          </w:tcPr>
          <w:p w14:paraId="2BD04030" w14:textId="77777777" w:rsidR="00D9032B" w:rsidRPr="0053371E" w:rsidRDefault="00D9032B" w:rsidP="00BF6708">
            <w:pPr>
              <w:pStyle w:val="Categoria"/>
              <w:rPr>
                <w:rFonts w:ascii="Times New Roman" w:hAnsi="Times New Roman"/>
                <w:sz w:val="24"/>
                <w:szCs w:val="24"/>
              </w:rPr>
            </w:pPr>
          </w:p>
        </w:tc>
        <w:tc>
          <w:tcPr>
            <w:tcW w:w="4240" w:type="dxa"/>
            <w:tcBorders>
              <w:top w:val="single" w:sz="18" w:space="0" w:color="D9D9D9" w:themeColor="background1" w:themeShade="D9"/>
              <w:left w:val="nil"/>
              <w:bottom w:val="nil"/>
              <w:right w:val="nil"/>
            </w:tcBorders>
            <w:vAlign w:val="center"/>
          </w:tcPr>
          <w:p w14:paraId="6F3B2E94" w14:textId="77777777" w:rsidR="00D9032B" w:rsidRPr="0053371E" w:rsidRDefault="00D9032B" w:rsidP="00BF6708">
            <w:pPr>
              <w:pStyle w:val="Data1"/>
              <w:rPr>
                <w:rFonts w:ascii="Times New Roman" w:hAnsi="Times New Roman"/>
                <w:sz w:val="24"/>
                <w:szCs w:val="24"/>
              </w:rPr>
            </w:pPr>
          </w:p>
        </w:tc>
      </w:tr>
      <w:tr w:rsidR="00D9032B" w:rsidRPr="0053371E" w14:paraId="6FB5A0F9" w14:textId="77777777" w:rsidTr="00D9032B">
        <w:trPr>
          <w:trHeight w:val="1989"/>
          <w:jc w:val="center"/>
        </w:trPr>
        <w:tc>
          <w:tcPr>
            <w:tcW w:w="8343" w:type="dxa"/>
            <w:gridSpan w:val="2"/>
            <w:tcBorders>
              <w:top w:val="nil"/>
              <w:left w:val="nil"/>
              <w:bottom w:val="nil"/>
              <w:right w:val="nil"/>
            </w:tcBorders>
          </w:tcPr>
          <w:p w14:paraId="0396A693" w14:textId="77777777" w:rsidR="00D9032B" w:rsidRPr="0053371E" w:rsidRDefault="00D9032B" w:rsidP="00A75830">
            <w:pPr>
              <w:rPr>
                <w:rFonts w:ascii="Times New Roman" w:hAnsi="Times New Roman"/>
                <w:sz w:val="24"/>
                <w:szCs w:val="24"/>
              </w:rPr>
            </w:pPr>
          </w:p>
          <w:p w14:paraId="45810E33" w14:textId="77777777" w:rsidR="00D9032B" w:rsidRDefault="00D9032B" w:rsidP="00A75830">
            <w:pPr>
              <w:rPr>
                <w:rFonts w:ascii="Times New Roman" w:hAnsi="Times New Roman"/>
                <w:sz w:val="24"/>
                <w:szCs w:val="24"/>
              </w:rPr>
            </w:pPr>
          </w:p>
          <w:p w14:paraId="030A883B" w14:textId="77777777" w:rsidR="00D0394D" w:rsidRPr="0053371E" w:rsidRDefault="00D0394D" w:rsidP="00A75830">
            <w:pPr>
              <w:rPr>
                <w:rFonts w:ascii="Times New Roman" w:hAnsi="Times New Roman"/>
                <w:sz w:val="24"/>
                <w:szCs w:val="24"/>
              </w:rPr>
            </w:pPr>
          </w:p>
          <w:p w14:paraId="461900C5" w14:textId="77777777" w:rsidR="00D9032B" w:rsidRPr="0053371E" w:rsidRDefault="00D9032B" w:rsidP="00A75830">
            <w:pPr>
              <w:rPr>
                <w:rFonts w:ascii="Times New Roman" w:hAnsi="Times New Roman"/>
                <w:sz w:val="24"/>
                <w:szCs w:val="24"/>
              </w:rPr>
            </w:pPr>
          </w:p>
          <w:p w14:paraId="483F6E65" w14:textId="70DCB414" w:rsidR="00D9032B" w:rsidRPr="007B161D" w:rsidRDefault="00180427" w:rsidP="007B161D">
            <w:pPr>
              <w:rPr>
                <w:rFonts w:ascii="Garamond" w:eastAsiaTheme="minorHAnsi" w:hAnsi="Garamond"/>
                <w:b/>
                <w:smallCaps/>
                <w:sz w:val="56"/>
                <w:szCs w:val="56"/>
              </w:rPr>
            </w:pPr>
            <w:r>
              <w:rPr>
                <w:rFonts w:ascii="Garamond" w:eastAsiaTheme="minorHAnsi" w:hAnsi="Garamond"/>
                <w:b/>
                <w:smallCaps/>
                <w:sz w:val="56"/>
                <w:szCs w:val="56"/>
              </w:rPr>
              <w:t>Deduzioni IRAP ed enti non commerciali</w:t>
            </w:r>
          </w:p>
          <w:p w14:paraId="447AE797" w14:textId="77777777" w:rsidR="00D9032B" w:rsidRDefault="00D9032B" w:rsidP="00F01F09">
            <w:pPr>
              <w:rPr>
                <w:rFonts w:ascii="Times New Roman" w:hAnsi="Times New Roman"/>
                <w:sz w:val="24"/>
                <w:szCs w:val="24"/>
              </w:rPr>
            </w:pPr>
          </w:p>
          <w:p w14:paraId="3A136FF6" w14:textId="2C20AB7E" w:rsidR="00326C6A" w:rsidRDefault="00326C6A" w:rsidP="00F01F09">
            <w:pPr>
              <w:rPr>
                <w:rFonts w:ascii="Times New Roman" w:hAnsi="Times New Roman"/>
                <w:sz w:val="24"/>
                <w:szCs w:val="24"/>
              </w:rPr>
            </w:pPr>
          </w:p>
          <w:p w14:paraId="7C5FC960" w14:textId="4C6814FD" w:rsidR="009F5336" w:rsidRDefault="009F5336" w:rsidP="00F01F09">
            <w:pPr>
              <w:rPr>
                <w:rFonts w:ascii="Times New Roman" w:hAnsi="Times New Roman"/>
                <w:sz w:val="24"/>
                <w:szCs w:val="24"/>
              </w:rPr>
            </w:pPr>
          </w:p>
          <w:p w14:paraId="4FFA11F0" w14:textId="478F10D5" w:rsidR="009F5336" w:rsidRDefault="009F5336" w:rsidP="00F01F09">
            <w:pPr>
              <w:rPr>
                <w:rFonts w:ascii="Times New Roman" w:hAnsi="Times New Roman"/>
                <w:sz w:val="24"/>
                <w:szCs w:val="24"/>
              </w:rPr>
            </w:pPr>
          </w:p>
          <w:p w14:paraId="5685A3C1" w14:textId="77777777" w:rsidR="009F5336" w:rsidRDefault="009F5336" w:rsidP="00F01F09">
            <w:pPr>
              <w:rPr>
                <w:rFonts w:ascii="Times New Roman" w:hAnsi="Times New Roman"/>
                <w:sz w:val="24"/>
                <w:szCs w:val="24"/>
              </w:rPr>
            </w:pPr>
          </w:p>
          <w:p w14:paraId="23683493" w14:textId="77777777" w:rsidR="00D9032B" w:rsidRPr="0053371E" w:rsidRDefault="00D0643C" w:rsidP="00D0643C">
            <w:pPr>
              <w:spacing w:line="360" w:lineRule="auto"/>
              <w:rPr>
                <w:rFonts w:ascii="Times New Roman" w:hAnsi="Times New Roman"/>
                <w:i/>
                <w:iCs/>
                <w:sz w:val="24"/>
                <w:szCs w:val="24"/>
              </w:rPr>
            </w:pPr>
            <w:r w:rsidRPr="002D4BA6">
              <w:rPr>
                <w:rStyle w:val="Enfasicorsivo"/>
                <w:rFonts w:ascii="Garamond" w:hAnsi="Garamond"/>
                <w:i w:val="0"/>
                <w:color w:val="000000" w:themeColor="text1"/>
                <w:sz w:val="26"/>
                <w:szCs w:val="26"/>
              </w:rPr>
              <w:t>V</w:t>
            </w:r>
            <w:r w:rsidR="00FA01BD" w:rsidRPr="002D4BA6">
              <w:rPr>
                <w:rStyle w:val="Enfasicorsivo"/>
                <w:rFonts w:ascii="Garamond" w:hAnsi="Garamond"/>
                <w:i w:val="0"/>
                <w:color w:val="000000" w:themeColor="text1"/>
                <w:sz w:val="26"/>
                <w:szCs w:val="26"/>
              </w:rPr>
              <w:t>iviana Capozzi</w:t>
            </w:r>
            <w:r w:rsidR="00D9032B" w:rsidRPr="002D4BA6">
              <w:rPr>
                <w:rStyle w:val="Enfasicorsivo"/>
                <w:rFonts w:ascii="Garamond" w:hAnsi="Garamond"/>
                <w:i w:val="0"/>
                <w:color w:val="000000" w:themeColor="text1"/>
                <w:sz w:val="26"/>
                <w:szCs w:val="26"/>
              </w:rPr>
              <w:t xml:space="preserve"> </w:t>
            </w:r>
          </w:p>
        </w:tc>
      </w:tr>
      <w:tr w:rsidR="00D9032B" w:rsidRPr="0053371E" w14:paraId="204CFDA0" w14:textId="77777777" w:rsidTr="00D9032B">
        <w:trPr>
          <w:trHeight w:val="352"/>
          <w:jc w:val="center"/>
        </w:trPr>
        <w:tc>
          <w:tcPr>
            <w:tcW w:w="8343" w:type="dxa"/>
            <w:gridSpan w:val="2"/>
            <w:tcBorders>
              <w:top w:val="nil"/>
              <w:left w:val="nil"/>
              <w:bottom w:val="nil"/>
              <w:right w:val="nil"/>
            </w:tcBorders>
            <w:vAlign w:val="bottom"/>
          </w:tcPr>
          <w:p w14:paraId="25ED6BCA" w14:textId="77777777" w:rsidR="00D9032B" w:rsidRPr="0053371E" w:rsidRDefault="00D9032B" w:rsidP="00BF6708">
            <w:pPr>
              <w:pStyle w:val="Titolo5"/>
              <w:outlineLvl w:val="4"/>
              <w:rPr>
                <w:rFonts w:ascii="Times New Roman" w:hAnsi="Times New Roman" w:cs="Times New Roman"/>
              </w:rPr>
            </w:pPr>
          </w:p>
        </w:tc>
      </w:tr>
    </w:tbl>
    <w:p w14:paraId="44AAA36A" w14:textId="77777777" w:rsidR="00193652" w:rsidRPr="0053371E" w:rsidRDefault="00193652">
      <w:pPr>
        <w:rPr>
          <w:rFonts w:ascii="Times New Roman" w:hAnsi="Times New Roman" w:cs="Times New Roman"/>
          <w:b/>
          <w:sz w:val="24"/>
          <w:szCs w:val="24"/>
        </w:rPr>
      </w:pPr>
    </w:p>
    <w:p w14:paraId="07F75955" w14:textId="372AD670" w:rsidR="007B161D" w:rsidRDefault="007B161D">
      <w:pPr>
        <w:rPr>
          <w:rFonts w:ascii="Times New Roman" w:hAnsi="Times New Roman" w:cs="Times New Roman"/>
          <w:b/>
          <w:sz w:val="24"/>
          <w:szCs w:val="24"/>
        </w:rPr>
      </w:pPr>
    </w:p>
    <w:p w14:paraId="01716840" w14:textId="76B8FF64" w:rsidR="007B161D" w:rsidRDefault="007B161D">
      <w:pPr>
        <w:rPr>
          <w:rFonts w:ascii="Times New Roman" w:hAnsi="Times New Roman" w:cs="Times New Roman"/>
          <w:b/>
          <w:sz w:val="24"/>
          <w:szCs w:val="24"/>
        </w:rPr>
      </w:pPr>
    </w:p>
    <w:p w14:paraId="38E33918" w14:textId="77777777" w:rsidR="009A1190" w:rsidRPr="0053371E" w:rsidRDefault="009A1190">
      <w:pPr>
        <w:rPr>
          <w:rFonts w:ascii="Times New Roman" w:hAnsi="Times New Roman" w:cs="Times New Roman"/>
          <w:b/>
          <w:sz w:val="24"/>
          <w:szCs w:val="24"/>
        </w:rPr>
      </w:pPr>
    </w:p>
    <w:p w14:paraId="00120F49" w14:textId="3F0454F6" w:rsidR="008E6230" w:rsidRDefault="008E6230">
      <w:pPr>
        <w:rPr>
          <w:rFonts w:ascii="Times New Roman" w:hAnsi="Times New Roman" w:cs="Times New Roman"/>
          <w:b/>
          <w:sz w:val="24"/>
          <w:szCs w:val="24"/>
        </w:rPr>
      </w:pPr>
    </w:p>
    <w:p w14:paraId="243C4998" w14:textId="37E01919" w:rsidR="009F5336" w:rsidRDefault="009F5336">
      <w:pPr>
        <w:rPr>
          <w:rFonts w:ascii="Times New Roman" w:hAnsi="Times New Roman" w:cs="Times New Roman"/>
          <w:b/>
          <w:sz w:val="24"/>
          <w:szCs w:val="24"/>
        </w:rPr>
      </w:pPr>
    </w:p>
    <w:p w14:paraId="2B2F957F" w14:textId="5B86F291" w:rsidR="009F5336" w:rsidRDefault="009F5336">
      <w:pPr>
        <w:rPr>
          <w:rFonts w:ascii="Times New Roman" w:hAnsi="Times New Roman" w:cs="Times New Roman"/>
          <w:b/>
          <w:sz w:val="24"/>
          <w:szCs w:val="24"/>
        </w:rPr>
      </w:pPr>
    </w:p>
    <w:p w14:paraId="63147ED0" w14:textId="2451DF1C" w:rsidR="009F5336" w:rsidRDefault="009F5336">
      <w:pPr>
        <w:rPr>
          <w:rFonts w:ascii="Times New Roman" w:hAnsi="Times New Roman" w:cs="Times New Roman"/>
          <w:b/>
          <w:sz w:val="24"/>
          <w:szCs w:val="24"/>
        </w:rPr>
      </w:pPr>
    </w:p>
    <w:p w14:paraId="04D1F5A6" w14:textId="05C99DA0" w:rsidR="007B161D" w:rsidRDefault="007B161D">
      <w:pPr>
        <w:rPr>
          <w:rFonts w:ascii="Times New Roman" w:hAnsi="Times New Roman" w:cs="Times New Roman"/>
          <w:b/>
          <w:sz w:val="24"/>
          <w:szCs w:val="24"/>
        </w:rPr>
      </w:pPr>
    </w:p>
    <w:p w14:paraId="4FE11486" w14:textId="3735B167" w:rsidR="009A1190" w:rsidRPr="0053371E" w:rsidRDefault="007F7AEB" w:rsidP="00FA3980">
      <w:pPr>
        <w:ind w:left="426"/>
        <w:rPr>
          <w:rFonts w:ascii="Times New Roman" w:hAnsi="Times New Roman" w:cs="Times New Roman"/>
          <w:smallCaps/>
          <w:sz w:val="24"/>
          <w:szCs w:val="24"/>
        </w:rPr>
      </w:pPr>
      <w:r>
        <w:rPr>
          <w:rFonts w:ascii="Times New Roman" w:hAnsi="Times New Roman" w:cs="Times New Roman"/>
          <w:smallCaps/>
          <w:sz w:val="24"/>
          <w:szCs w:val="24"/>
        </w:rPr>
        <w:t>20</w:t>
      </w:r>
      <w:r w:rsidR="00180427">
        <w:rPr>
          <w:rFonts w:ascii="Times New Roman" w:hAnsi="Times New Roman" w:cs="Times New Roman"/>
          <w:smallCaps/>
          <w:sz w:val="24"/>
          <w:szCs w:val="24"/>
        </w:rPr>
        <w:t xml:space="preserve"> novembre</w:t>
      </w:r>
      <w:r w:rsidR="00327A90">
        <w:rPr>
          <w:rFonts w:ascii="Times New Roman" w:hAnsi="Times New Roman" w:cs="Times New Roman"/>
          <w:smallCaps/>
          <w:sz w:val="24"/>
          <w:szCs w:val="24"/>
        </w:rPr>
        <w:t xml:space="preserve"> 2020</w:t>
      </w:r>
    </w:p>
    <w:p w14:paraId="08DD2A95" w14:textId="77777777" w:rsidR="00CB64AA" w:rsidRPr="0053371E" w:rsidRDefault="00CB64AA" w:rsidP="00F01F09">
      <w:pPr>
        <w:rPr>
          <w:rFonts w:ascii="Times New Roman" w:hAnsi="Times New Roman" w:cs="Times New Roman"/>
          <w:b/>
          <w:smallCaps/>
          <w:sz w:val="24"/>
          <w:szCs w:val="24"/>
        </w:rPr>
        <w:sectPr w:rsidR="00CB64AA" w:rsidRPr="0053371E" w:rsidSect="009C4848">
          <w:headerReference w:type="default" r:id="rId10"/>
          <w:footerReference w:type="default" r:id="rId11"/>
          <w:footerReference w:type="first" r:id="rId12"/>
          <w:pgSz w:w="11906" w:h="16838"/>
          <w:pgMar w:top="1871" w:right="1418" w:bottom="1134" w:left="1418" w:header="709" w:footer="709" w:gutter="0"/>
          <w:cols w:space="708"/>
          <w:titlePg/>
          <w:docGrid w:linePitch="360"/>
        </w:sectPr>
      </w:pPr>
    </w:p>
    <w:p w14:paraId="27B74556" w14:textId="77777777" w:rsidR="00143456" w:rsidRPr="00AC1AF2" w:rsidRDefault="00F01F09" w:rsidP="00143456">
      <w:pPr>
        <w:rPr>
          <w:rFonts w:cstheme="minorHAnsi"/>
          <w:b/>
          <w:smallCaps/>
          <w:sz w:val="28"/>
          <w:szCs w:val="24"/>
        </w:rPr>
      </w:pPr>
      <w:r w:rsidRPr="00AC1AF2">
        <w:rPr>
          <w:rFonts w:cstheme="minorHAnsi"/>
          <w:b/>
          <w:smallCaps/>
          <w:sz w:val="28"/>
          <w:szCs w:val="24"/>
        </w:rPr>
        <w:lastRenderedPageBreak/>
        <w:t>Abstrac</w:t>
      </w:r>
      <w:r w:rsidR="009E22CA" w:rsidRPr="00AC1AF2">
        <w:rPr>
          <w:rFonts w:cstheme="minorHAnsi"/>
          <w:b/>
          <w:smallCaps/>
          <w:sz w:val="28"/>
          <w:szCs w:val="24"/>
        </w:rPr>
        <w:t>t</w:t>
      </w:r>
    </w:p>
    <w:p w14:paraId="709C1940" w14:textId="00FC6CB4" w:rsidR="00BA2F84" w:rsidRDefault="00FD07BD" w:rsidP="007B161D">
      <w:pPr>
        <w:spacing w:line="300" w:lineRule="auto"/>
        <w:jc w:val="both"/>
        <w:rPr>
          <w:rFonts w:cstheme="minorHAnsi"/>
          <w:i/>
          <w:szCs w:val="24"/>
        </w:rPr>
      </w:pPr>
      <w:r>
        <w:rPr>
          <w:rFonts w:cstheme="minorHAnsi"/>
          <w:i/>
          <w:szCs w:val="24"/>
        </w:rPr>
        <w:t>Al</w:t>
      </w:r>
      <w:r w:rsidR="00853B48">
        <w:rPr>
          <w:rFonts w:cstheme="minorHAnsi"/>
          <w:i/>
          <w:szCs w:val="24"/>
        </w:rPr>
        <w:t xml:space="preserve">l’approssimarsi della scadenza per la presentazione della dichiarazione dei redditi, si è ritenuto utile </w:t>
      </w:r>
      <w:r w:rsidR="001D4294">
        <w:rPr>
          <w:rFonts w:cstheme="minorHAnsi"/>
          <w:i/>
          <w:szCs w:val="24"/>
        </w:rPr>
        <w:t>svolgere un breve approfondimento in merito alle</w:t>
      </w:r>
      <w:r w:rsidR="00222B0F">
        <w:rPr>
          <w:rFonts w:cstheme="minorHAnsi"/>
          <w:i/>
          <w:szCs w:val="24"/>
        </w:rPr>
        <w:t xml:space="preserve"> deduzioni IRAP</w:t>
      </w:r>
      <w:r w:rsidR="001D4294">
        <w:rPr>
          <w:rFonts w:cstheme="minorHAnsi"/>
          <w:i/>
          <w:szCs w:val="24"/>
        </w:rPr>
        <w:t xml:space="preserve"> (di cui a</w:t>
      </w:r>
      <w:r w:rsidR="00015C81">
        <w:rPr>
          <w:rFonts w:cstheme="minorHAnsi"/>
          <w:i/>
          <w:szCs w:val="24"/>
        </w:rPr>
        <w:t>ll’articolo 11 del D.lgs</w:t>
      </w:r>
      <w:r w:rsidR="00CE527E">
        <w:rPr>
          <w:rFonts w:cstheme="minorHAnsi"/>
          <w:i/>
          <w:szCs w:val="24"/>
        </w:rPr>
        <w:t>.</w:t>
      </w:r>
      <w:r w:rsidR="00015C81">
        <w:rPr>
          <w:rFonts w:cstheme="minorHAnsi"/>
          <w:i/>
          <w:szCs w:val="24"/>
        </w:rPr>
        <w:t xml:space="preserve"> 15 dicembre 1997, n. 446</w:t>
      </w:r>
      <w:r w:rsidR="001D4294">
        <w:rPr>
          <w:rFonts w:cstheme="minorHAnsi"/>
          <w:i/>
          <w:szCs w:val="24"/>
        </w:rPr>
        <w:t>) di cui possono usufruire gli enti non commerciali</w:t>
      </w:r>
      <w:r w:rsidR="00BA2F84">
        <w:rPr>
          <w:rFonts w:cstheme="minorHAnsi"/>
          <w:i/>
          <w:szCs w:val="24"/>
        </w:rPr>
        <w:t xml:space="preserve"> di diritto privato</w:t>
      </w:r>
      <w:r w:rsidR="001D4294">
        <w:rPr>
          <w:rFonts w:cstheme="minorHAnsi"/>
          <w:i/>
          <w:szCs w:val="24"/>
        </w:rPr>
        <w:t>.</w:t>
      </w:r>
    </w:p>
    <w:p w14:paraId="3CEBB85A" w14:textId="143A053C" w:rsidR="00553C8D" w:rsidRDefault="001D4294" w:rsidP="007B161D">
      <w:pPr>
        <w:spacing w:line="300" w:lineRule="auto"/>
        <w:jc w:val="both"/>
        <w:rPr>
          <w:rFonts w:cstheme="minorHAnsi"/>
          <w:i/>
          <w:szCs w:val="24"/>
        </w:rPr>
      </w:pPr>
      <w:r>
        <w:rPr>
          <w:rFonts w:cstheme="minorHAnsi"/>
          <w:i/>
          <w:szCs w:val="24"/>
        </w:rPr>
        <w:t xml:space="preserve">Come </w:t>
      </w:r>
      <w:r w:rsidR="00FD07BD">
        <w:rPr>
          <w:rFonts w:cstheme="minorHAnsi"/>
          <w:i/>
          <w:szCs w:val="24"/>
        </w:rPr>
        <w:t xml:space="preserve">è </w:t>
      </w:r>
      <w:r>
        <w:rPr>
          <w:rFonts w:cstheme="minorHAnsi"/>
          <w:i/>
          <w:szCs w:val="24"/>
        </w:rPr>
        <w:t xml:space="preserve">noto, </w:t>
      </w:r>
      <w:r w:rsidR="00BA2F84">
        <w:rPr>
          <w:rFonts w:cstheme="minorHAnsi"/>
          <w:i/>
          <w:szCs w:val="24"/>
        </w:rPr>
        <w:t xml:space="preserve">infatti, </w:t>
      </w:r>
      <w:bookmarkStart w:id="0" w:name="_Hlk55988200"/>
      <w:r>
        <w:rPr>
          <w:rFonts w:cstheme="minorHAnsi"/>
          <w:i/>
          <w:szCs w:val="24"/>
        </w:rPr>
        <w:t xml:space="preserve">il quadro normativo è caratterizzato da un complesso sistema di deduzioni operanti in funzione delle caratteristiche soggettive del contribuente, nonché della tipologia di attività </w:t>
      </w:r>
      <w:r w:rsidR="00BA2F84">
        <w:rPr>
          <w:rFonts w:cstheme="minorHAnsi"/>
          <w:i/>
          <w:szCs w:val="24"/>
        </w:rPr>
        <w:t xml:space="preserve">(commerciale o non commerciale) </w:t>
      </w:r>
      <w:r>
        <w:rPr>
          <w:rFonts w:cstheme="minorHAnsi"/>
          <w:i/>
          <w:szCs w:val="24"/>
        </w:rPr>
        <w:t xml:space="preserve">dal medesimo esercitata. Fra le deduzioni astrattamente applicabili al singolo </w:t>
      </w:r>
      <w:r w:rsidR="00BA2F84">
        <w:rPr>
          <w:rFonts w:cstheme="minorHAnsi"/>
          <w:i/>
          <w:szCs w:val="24"/>
        </w:rPr>
        <w:t>ente</w:t>
      </w:r>
      <w:r>
        <w:rPr>
          <w:rFonts w:cstheme="minorHAnsi"/>
          <w:i/>
          <w:szCs w:val="24"/>
        </w:rPr>
        <w:t xml:space="preserve">, inoltre, alcune misure si pongono fra loro in una relazione di alternatività che andrà attentamente valutata al fine di poter </w:t>
      </w:r>
      <w:r w:rsidR="00BA2F84">
        <w:rPr>
          <w:rFonts w:cstheme="minorHAnsi"/>
          <w:i/>
          <w:szCs w:val="24"/>
        </w:rPr>
        <w:t>massimizzare il beneficio fiscale spettante.</w:t>
      </w:r>
    </w:p>
    <w:bookmarkEnd w:id="0"/>
    <w:p w14:paraId="480BE71B" w14:textId="09E60F91" w:rsidR="00BA2F84" w:rsidRPr="00C932A0" w:rsidRDefault="00BA2F84" w:rsidP="007B161D">
      <w:pPr>
        <w:spacing w:line="300" w:lineRule="auto"/>
        <w:jc w:val="both"/>
        <w:rPr>
          <w:rFonts w:cstheme="minorHAnsi"/>
          <w:i/>
          <w:szCs w:val="24"/>
        </w:rPr>
      </w:pPr>
      <w:r>
        <w:rPr>
          <w:rFonts w:cstheme="minorHAnsi"/>
          <w:i/>
          <w:szCs w:val="24"/>
        </w:rPr>
        <w:t>La complessa articolazione del sistema normativo di riferimento ha, infine, suggerito l’opportunità di riepilogare gli elementi caratterizzanti ogni singola misura in un breve quadro di sintesi, di immediata consultazione.</w:t>
      </w:r>
    </w:p>
    <w:p w14:paraId="3A0C32CE" w14:textId="77777777" w:rsidR="00143456" w:rsidRDefault="00143456" w:rsidP="00143456">
      <w:pPr>
        <w:rPr>
          <w:rFonts w:ascii="Times New Roman" w:hAnsi="Times New Roman" w:cs="Times New Roman"/>
          <w:b/>
          <w:smallCaps/>
          <w:sz w:val="24"/>
          <w:szCs w:val="24"/>
        </w:rPr>
      </w:pPr>
    </w:p>
    <w:p w14:paraId="0105E813" w14:textId="77777777" w:rsidR="00553C8D" w:rsidRDefault="00553C8D">
      <w:pPr>
        <w:rPr>
          <w:rFonts w:ascii="Times New Roman" w:hAnsi="Times New Roman" w:cs="Times New Roman"/>
          <w:b/>
          <w:smallCaps/>
          <w:sz w:val="24"/>
          <w:szCs w:val="24"/>
        </w:rPr>
      </w:pPr>
      <w:r>
        <w:rPr>
          <w:rFonts w:ascii="Times New Roman" w:hAnsi="Times New Roman" w:cs="Times New Roman"/>
          <w:b/>
          <w:smallCaps/>
          <w:sz w:val="24"/>
          <w:szCs w:val="24"/>
        </w:rPr>
        <w:br w:type="page"/>
      </w:r>
    </w:p>
    <w:p w14:paraId="5AA4CF35" w14:textId="77777777" w:rsidR="00DD24BF" w:rsidRPr="007B161D" w:rsidRDefault="00DD24BF" w:rsidP="00DD24BF">
      <w:pPr>
        <w:rPr>
          <w:rFonts w:cstheme="minorHAnsi"/>
          <w:b/>
          <w:smallCaps/>
          <w:sz w:val="32"/>
          <w:szCs w:val="28"/>
        </w:rPr>
      </w:pPr>
      <w:r w:rsidRPr="007B161D">
        <w:rPr>
          <w:rFonts w:cstheme="minorHAnsi"/>
          <w:b/>
          <w:smallCaps/>
          <w:sz w:val="32"/>
          <w:szCs w:val="28"/>
        </w:rPr>
        <w:lastRenderedPageBreak/>
        <w:t>Indice</w:t>
      </w:r>
    </w:p>
    <w:p w14:paraId="7FAE07D5" w14:textId="77777777" w:rsidR="00DD24BF" w:rsidRDefault="00DD24BF" w:rsidP="00DD24BF"/>
    <w:p w14:paraId="13A3DE5B" w14:textId="3D4E5408" w:rsidR="007F7AEB" w:rsidRDefault="007B161D">
      <w:pPr>
        <w:pStyle w:val="Sommario1"/>
        <w:rPr>
          <w:rFonts w:eastAsiaTheme="minorEastAsia"/>
          <w:b w:val="0"/>
          <w:smallCaps w:val="0"/>
          <w:sz w:val="22"/>
          <w:szCs w:val="22"/>
          <w:lang w:val="it-IT" w:eastAsia="it-IT"/>
        </w:rPr>
      </w:pPr>
      <w:r>
        <w:rPr>
          <w:b w:val="0"/>
          <w:smallCaps w:val="0"/>
          <w:sz w:val="24"/>
        </w:rPr>
        <w:fldChar w:fldCharType="begin"/>
      </w:r>
      <w:r>
        <w:rPr>
          <w:b w:val="0"/>
          <w:smallCaps w:val="0"/>
          <w:sz w:val="24"/>
        </w:rPr>
        <w:instrText xml:space="preserve"> TOC \o "1-3" \h \z \u </w:instrText>
      </w:r>
      <w:r>
        <w:rPr>
          <w:b w:val="0"/>
          <w:smallCaps w:val="0"/>
          <w:sz w:val="24"/>
        </w:rPr>
        <w:fldChar w:fldCharType="separate"/>
      </w:r>
      <w:hyperlink w:anchor="_Toc56777650" w:history="1">
        <w:r w:rsidR="007F7AEB" w:rsidRPr="00E1403F">
          <w:rPr>
            <w:rStyle w:val="Collegamentoipertestuale"/>
          </w:rPr>
          <w:t>Premessa</w:t>
        </w:r>
        <w:r w:rsidR="007F7AEB">
          <w:rPr>
            <w:webHidden/>
          </w:rPr>
          <w:tab/>
        </w:r>
        <w:r w:rsidR="007F7AEB">
          <w:rPr>
            <w:webHidden/>
          </w:rPr>
          <w:fldChar w:fldCharType="begin"/>
        </w:r>
        <w:r w:rsidR="007F7AEB">
          <w:rPr>
            <w:webHidden/>
          </w:rPr>
          <w:instrText xml:space="preserve"> PAGEREF _Toc56777650 \h </w:instrText>
        </w:r>
        <w:r w:rsidR="007F7AEB">
          <w:rPr>
            <w:webHidden/>
          </w:rPr>
        </w:r>
        <w:r w:rsidR="007F7AEB">
          <w:rPr>
            <w:webHidden/>
          </w:rPr>
          <w:fldChar w:fldCharType="separate"/>
        </w:r>
        <w:r w:rsidR="001823B1">
          <w:rPr>
            <w:webHidden/>
          </w:rPr>
          <w:t>4</w:t>
        </w:r>
        <w:r w:rsidR="007F7AEB">
          <w:rPr>
            <w:webHidden/>
          </w:rPr>
          <w:fldChar w:fldCharType="end"/>
        </w:r>
      </w:hyperlink>
    </w:p>
    <w:p w14:paraId="109601B5" w14:textId="4D9C3639" w:rsidR="007F7AEB" w:rsidRDefault="007D7D90">
      <w:pPr>
        <w:pStyle w:val="Sommario1"/>
        <w:rPr>
          <w:rFonts w:eastAsiaTheme="minorEastAsia"/>
          <w:b w:val="0"/>
          <w:smallCaps w:val="0"/>
          <w:sz w:val="22"/>
          <w:szCs w:val="22"/>
          <w:lang w:val="it-IT" w:eastAsia="it-IT"/>
        </w:rPr>
      </w:pPr>
      <w:hyperlink w:anchor="_Toc56777651" w:history="1">
        <w:r w:rsidR="007F7AEB" w:rsidRPr="00E1403F">
          <w:rPr>
            <w:rStyle w:val="Collegamentoipertestuale"/>
          </w:rPr>
          <w:t>1.</w:t>
        </w:r>
        <w:r w:rsidR="007F7AEB">
          <w:rPr>
            <w:rFonts w:eastAsiaTheme="minorEastAsia"/>
            <w:b w:val="0"/>
            <w:smallCaps w:val="0"/>
            <w:sz w:val="22"/>
            <w:szCs w:val="22"/>
            <w:lang w:val="it-IT" w:eastAsia="it-IT"/>
          </w:rPr>
          <w:tab/>
        </w:r>
        <w:r w:rsidR="007F7AEB" w:rsidRPr="00E1403F">
          <w:rPr>
            <w:rStyle w:val="Collegamentoipertestuale"/>
          </w:rPr>
          <w:t>Le deduzioni IRAP di cui possono fruire gli enti non commerciali</w:t>
        </w:r>
        <w:r w:rsidR="007F7AEB">
          <w:rPr>
            <w:webHidden/>
          </w:rPr>
          <w:tab/>
        </w:r>
        <w:r w:rsidR="007F7AEB">
          <w:rPr>
            <w:webHidden/>
          </w:rPr>
          <w:fldChar w:fldCharType="begin"/>
        </w:r>
        <w:r w:rsidR="007F7AEB">
          <w:rPr>
            <w:webHidden/>
          </w:rPr>
          <w:instrText xml:space="preserve"> PAGEREF _Toc56777651 \h </w:instrText>
        </w:r>
        <w:r w:rsidR="007F7AEB">
          <w:rPr>
            <w:webHidden/>
          </w:rPr>
        </w:r>
        <w:r w:rsidR="007F7AEB">
          <w:rPr>
            <w:webHidden/>
          </w:rPr>
          <w:fldChar w:fldCharType="separate"/>
        </w:r>
        <w:r w:rsidR="001823B1">
          <w:rPr>
            <w:webHidden/>
          </w:rPr>
          <w:t>5</w:t>
        </w:r>
        <w:r w:rsidR="007F7AEB">
          <w:rPr>
            <w:webHidden/>
          </w:rPr>
          <w:fldChar w:fldCharType="end"/>
        </w:r>
      </w:hyperlink>
    </w:p>
    <w:p w14:paraId="65CC3C84" w14:textId="2ACAF779" w:rsidR="007F7AEB" w:rsidRDefault="007D7D90">
      <w:pPr>
        <w:pStyle w:val="Sommario2"/>
        <w:rPr>
          <w:rFonts w:eastAsiaTheme="minorEastAsia"/>
          <w:noProof/>
          <w:lang w:val="it-IT" w:eastAsia="it-IT"/>
        </w:rPr>
      </w:pPr>
      <w:hyperlink w:anchor="_Toc56777652" w:history="1">
        <w:r w:rsidR="007F7AEB" w:rsidRPr="00E1403F">
          <w:rPr>
            <w:rStyle w:val="Collegamentoipertestuale"/>
            <w:noProof/>
          </w:rPr>
          <w:t>1.1.</w:t>
        </w:r>
        <w:r w:rsidR="007F7AEB">
          <w:rPr>
            <w:rFonts w:eastAsiaTheme="minorEastAsia"/>
            <w:noProof/>
            <w:lang w:val="it-IT" w:eastAsia="it-IT"/>
          </w:rPr>
          <w:tab/>
        </w:r>
        <w:r w:rsidR="007F7AEB" w:rsidRPr="00E1403F">
          <w:rPr>
            <w:rStyle w:val="Collegamentoipertestuale"/>
            <w:noProof/>
          </w:rPr>
          <w:t>Deduzione per i contributi versati per le assicurazioni obbligatorie (articolo 11, comma 1, lett. a), n. 1 del “Decreto IRAP”)</w:t>
        </w:r>
        <w:r w:rsidR="007F7AEB">
          <w:rPr>
            <w:noProof/>
            <w:webHidden/>
          </w:rPr>
          <w:tab/>
        </w:r>
        <w:r w:rsidR="007F7AEB">
          <w:rPr>
            <w:noProof/>
            <w:webHidden/>
          </w:rPr>
          <w:fldChar w:fldCharType="begin"/>
        </w:r>
        <w:r w:rsidR="007F7AEB">
          <w:rPr>
            <w:noProof/>
            <w:webHidden/>
          </w:rPr>
          <w:instrText xml:space="preserve"> PAGEREF _Toc56777652 \h </w:instrText>
        </w:r>
        <w:r w:rsidR="007F7AEB">
          <w:rPr>
            <w:noProof/>
            <w:webHidden/>
          </w:rPr>
        </w:r>
        <w:r w:rsidR="007F7AEB">
          <w:rPr>
            <w:noProof/>
            <w:webHidden/>
          </w:rPr>
          <w:fldChar w:fldCharType="separate"/>
        </w:r>
        <w:r w:rsidR="001823B1">
          <w:rPr>
            <w:noProof/>
            <w:webHidden/>
          </w:rPr>
          <w:t>5</w:t>
        </w:r>
        <w:r w:rsidR="007F7AEB">
          <w:rPr>
            <w:noProof/>
            <w:webHidden/>
          </w:rPr>
          <w:fldChar w:fldCharType="end"/>
        </w:r>
      </w:hyperlink>
    </w:p>
    <w:p w14:paraId="673A83E5" w14:textId="49C17DA4" w:rsidR="007F7AEB" w:rsidRDefault="007D7D90">
      <w:pPr>
        <w:pStyle w:val="Sommario2"/>
        <w:rPr>
          <w:rFonts w:eastAsiaTheme="minorEastAsia"/>
          <w:noProof/>
          <w:lang w:val="it-IT" w:eastAsia="it-IT"/>
        </w:rPr>
      </w:pPr>
      <w:hyperlink w:anchor="_Toc56777653" w:history="1">
        <w:r w:rsidR="007F7AEB" w:rsidRPr="00E1403F">
          <w:rPr>
            <w:rStyle w:val="Collegamentoipertestuale"/>
            <w:noProof/>
          </w:rPr>
          <w:t>1.2.</w:t>
        </w:r>
        <w:r w:rsidR="007F7AEB">
          <w:rPr>
            <w:rFonts w:eastAsiaTheme="minorEastAsia"/>
            <w:noProof/>
            <w:lang w:val="it-IT" w:eastAsia="it-IT"/>
          </w:rPr>
          <w:tab/>
        </w:r>
        <w:r w:rsidR="007F7AEB" w:rsidRPr="00E1403F">
          <w:rPr>
            <w:rStyle w:val="Collegamentoipertestuale"/>
            <w:noProof/>
          </w:rPr>
          <w:t>Deduzione forfettaria per ridurre il cuneo fiscale (articolo 11, comma 1, lett. a), n. 2, del “Decreto IRAP”)</w:t>
        </w:r>
        <w:r w:rsidR="007F7AEB">
          <w:rPr>
            <w:noProof/>
            <w:webHidden/>
          </w:rPr>
          <w:tab/>
        </w:r>
        <w:r w:rsidR="007F7AEB">
          <w:rPr>
            <w:noProof/>
            <w:webHidden/>
          </w:rPr>
          <w:fldChar w:fldCharType="begin"/>
        </w:r>
        <w:r w:rsidR="007F7AEB">
          <w:rPr>
            <w:noProof/>
            <w:webHidden/>
          </w:rPr>
          <w:instrText xml:space="preserve"> PAGEREF _Toc56777653 \h </w:instrText>
        </w:r>
        <w:r w:rsidR="007F7AEB">
          <w:rPr>
            <w:noProof/>
            <w:webHidden/>
          </w:rPr>
        </w:r>
        <w:r w:rsidR="007F7AEB">
          <w:rPr>
            <w:noProof/>
            <w:webHidden/>
          </w:rPr>
          <w:fldChar w:fldCharType="separate"/>
        </w:r>
        <w:r w:rsidR="001823B1">
          <w:rPr>
            <w:noProof/>
            <w:webHidden/>
          </w:rPr>
          <w:t>6</w:t>
        </w:r>
        <w:r w:rsidR="007F7AEB">
          <w:rPr>
            <w:noProof/>
            <w:webHidden/>
          </w:rPr>
          <w:fldChar w:fldCharType="end"/>
        </w:r>
      </w:hyperlink>
    </w:p>
    <w:p w14:paraId="4AE2D044" w14:textId="0E423414" w:rsidR="007F7AEB" w:rsidRDefault="007D7D90">
      <w:pPr>
        <w:pStyle w:val="Sommario2"/>
        <w:rPr>
          <w:rFonts w:eastAsiaTheme="minorEastAsia"/>
          <w:noProof/>
          <w:lang w:val="it-IT" w:eastAsia="it-IT"/>
        </w:rPr>
      </w:pPr>
      <w:hyperlink w:anchor="_Toc56777654" w:history="1">
        <w:r w:rsidR="007F7AEB" w:rsidRPr="00E1403F">
          <w:rPr>
            <w:rStyle w:val="Collegamentoipertestuale"/>
            <w:noProof/>
          </w:rPr>
          <w:t>1.3.</w:t>
        </w:r>
        <w:r w:rsidR="007F7AEB">
          <w:rPr>
            <w:rFonts w:eastAsiaTheme="minorEastAsia"/>
            <w:noProof/>
            <w:lang w:val="it-IT" w:eastAsia="it-IT"/>
          </w:rPr>
          <w:tab/>
        </w:r>
        <w:r w:rsidR="007F7AEB" w:rsidRPr="00E1403F">
          <w:rPr>
            <w:rStyle w:val="Collegamentoipertestuale"/>
            <w:noProof/>
          </w:rPr>
          <w:t>Deduzione per i contributi assistenziali e previdenziali (articolo 11, comma 1, lett. a), n. 4 del “Decreto IRAP”)</w:t>
        </w:r>
        <w:r w:rsidR="007F7AEB">
          <w:rPr>
            <w:noProof/>
            <w:webHidden/>
          </w:rPr>
          <w:tab/>
        </w:r>
        <w:r w:rsidR="007F7AEB">
          <w:rPr>
            <w:noProof/>
            <w:webHidden/>
          </w:rPr>
          <w:fldChar w:fldCharType="begin"/>
        </w:r>
        <w:r w:rsidR="007F7AEB">
          <w:rPr>
            <w:noProof/>
            <w:webHidden/>
          </w:rPr>
          <w:instrText xml:space="preserve"> PAGEREF _Toc56777654 \h </w:instrText>
        </w:r>
        <w:r w:rsidR="007F7AEB">
          <w:rPr>
            <w:noProof/>
            <w:webHidden/>
          </w:rPr>
        </w:r>
        <w:r w:rsidR="007F7AEB">
          <w:rPr>
            <w:noProof/>
            <w:webHidden/>
          </w:rPr>
          <w:fldChar w:fldCharType="separate"/>
        </w:r>
        <w:r w:rsidR="001823B1">
          <w:rPr>
            <w:noProof/>
            <w:webHidden/>
          </w:rPr>
          <w:t>8</w:t>
        </w:r>
        <w:r w:rsidR="007F7AEB">
          <w:rPr>
            <w:noProof/>
            <w:webHidden/>
          </w:rPr>
          <w:fldChar w:fldCharType="end"/>
        </w:r>
      </w:hyperlink>
    </w:p>
    <w:p w14:paraId="7A5CA601" w14:textId="20E75CDF" w:rsidR="007F7AEB" w:rsidRDefault="007D7D90">
      <w:pPr>
        <w:pStyle w:val="Sommario2"/>
        <w:rPr>
          <w:rFonts w:eastAsiaTheme="minorEastAsia"/>
          <w:noProof/>
          <w:lang w:val="it-IT" w:eastAsia="it-IT"/>
        </w:rPr>
      </w:pPr>
      <w:hyperlink w:anchor="_Toc56777655" w:history="1">
        <w:r w:rsidR="007F7AEB" w:rsidRPr="00E1403F">
          <w:rPr>
            <w:rStyle w:val="Collegamentoipertestuale"/>
            <w:noProof/>
          </w:rPr>
          <w:t>1.4.</w:t>
        </w:r>
        <w:r w:rsidR="007F7AEB">
          <w:rPr>
            <w:rFonts w:eastAsiaTheme="minorEastAsia"/>
            <w:noProof/>
            <w:lang w:val="it-IT" w:eastAsia="it-IT"/>
          </w:rPr>
          <w:tab/>
        </w:r>
        <w:r w:rsidR="007F7AEB" w:rsidRPr="00E1403F">
          <w:rPr>
            <w:rStyle w:val="Collegamentoipertestuale"/>
            <w:noProof/>
          </w:rPr>
          <w:t>Deduzione per apprendisti, disabili e personale addetto alla ricerca e sviluppo (articolo 11, comma 1, lett. a), n. 5 del “Decreto IRAP)</w:t>
        </w:r>
        <w:r w:rsidR="007F7AEB">
          <w:rPr>
            <w:noProof/>
            <w:webHidden/>
          </w:rPr>
          <w:tab/>
        </w:r>
        <w:r w:rsidR="007F7AEB">
          <w:rPr>
            <w:noProof/>
            <w:webHidden/>
          </w:rPr>
          <w:fldChar w:fldCharType="begin"/>
        </w:r>
        <w:r w:rsidR="007F7AEB">
          <w:rPr>
            <w:noProof/>
            <w:webHidden/>
          </w:rPr>
          <w:instrText xml:space="preserve"> PAGEREF _Toc56777655 \h </w:instrText>
        </w:r>
        <w:r w:rsidR="007F7AEB">
          <w:rPr>
            <w:noProof/>
            <w:webHidden/>
          </w:rPr>
        </w:r>
        <w:r w:rsidR="007F7AEB">
          <w:rPr>
            <w:noProof/>
            <w:webHidden/>
          </w:rPr>
          <w:fldChar w:fldCharType="separate"/>
        </w:r>
        <w:r w:rsidR="001823B1">
          <w:rPr>
            <w:noProof/>
            <w:webHidden/>
          </w:rPr>
          <w:t>9</w:t>
        </w:r>
        <w:r w:rsidR="007F7AEB">
          <w:rPr>
            <w:noProof/>
            <w:webHidden/>
          </w:rPr>
          <w:fldChar w:fldCharType="end"/>
        </w:r>
      </w:hyperlink>
    </w:p>
    <w:p w14:paraId="4F596461" w14:textId="2031BDAF" w:rsidR="007F7AEB" w:rsidRDefault="007D7D90">
      <w:pPr>
        <w:pStyle w:val="Sommario2"/>
        <w:rPr>
          <w:rFonts w:eastAsiaTheme="minorEastAsia"/>
          <w:noProof/>
          <w:lang w:val="it-IT" w:eastAsia="it-IT"/>
        </w:rPr>
      </w:pPr>
      <w:hyperlink w:anchor="_Toc56777656" w:history="1">
        <w:r w:rsidR="007F7AEB" w:rsidRPr="00E1403F">
          <w:rPr>
            <w:rStyle w:val="Collegamentoipertestuale"/>
            <w:noProof/>
          </w:rPr>
          <w:t>1.5.</w:t>
        </w:r>
        <w:r w:rsidR="007F7AEB">
          <w:rPr>
            <w:rFonts w:eastAsiaTheme="minorEastAsia"/>
            <w:noProof/>
            <w:lang w:val="it-IT" w:eastAsia="it-IT"/>
          </w:rPr>
          <w:tab/>
        </w:r>
        <w:r w:rsidR="007F7AEB" w:rsidRPr="00E1403F">
          <w:rPr>
            <w:rStyle w:val="Collegamentoipertestuale"/>
            <w:noProof/>
          </w:rPr>
          <w:t>Deduzione forfettaria (articolo 11, comma 4-</w:t>
        </w:r>
        <w:r w:rsidR="007F7AEB" w:rsidRPr="00E1403F">
          <w:rPr>
            <w:rStyle w:val="Collegamentoipertestuale"/>
            <w:iCs/>
            <w:noProof/>
          </w:rPr>
          <w:t xml:space="preserve">bis </w:t>
        </w:r>
        <w:r w:rsidR="007F7AEB" w:rsidRPr="00E1403F">
          <w:rPr>
            <w:rStyle w:val="Collegamentoipertestuale"/>
            <w:noProof/>
          </w:rPr>
          <w:t>del “Decreto IRAP”)</w:t>
        </w:r>
        <w:r w:rsidR="007F7AEB">
          <w:rPr>
            <w:noProof/>
            <w:webHidden/>
          </w:rPr>
          <w:tab/>
        </w:r>
        <w:r w:rsidR="007F7AEB">
          <w:rPr>
            <w:noProof/>
            <w:webHidden/>
          </w:rPr>
          <w:fldChar w:fldCharType="begin"/>
        </w:r>
        <w:r w:rsidR="007F7AEB">
          <w:rPr>
            <w:noProof/>
            <w:webHidden/>
          </w:rPr>
          <w:instrText xml:space="preserve"> PAGEREF _Toc56777656 \h </w:instrText>
        </w:r>
        <w:r w:rsidR="007F7AEB">
          <w:rPr>
            <w:noProof/>
            <w:webHidden/>
          </w:rPr>
        </w:r>
        <w:r w:rsidR="007F7AEB">
          <w:rPr>
            <w:noProof/>
            <w:webHidden/>
          </w:rPr>
          <w:fldChar w:fldCharType="separate"/>
        </w:r>
        <w:r w:rsidR="001823B1">
          <w:rPr>
            <w:noProof/>
            <w:webHidden/>
          </w:rPr>
          <w:t>11</w:t>
        </w:r>
        <w:r w:rsidR="007F7AEB">
          <w:rPr>
            <w:noProof/>
            <w:webHidden/>
          </w:rPr>
          <w:fldChar w:fldCharType="end"/>
        </w:r>
      </w:hyperlink>
    </w:p>
    <w:p w14:paraId="336CCC5C" w14:textId="41B24580" w:rsidR="007F7AEB" w:rsidRDefault="007D7D90">
      <w:pPr>
        <w:pStyle w:val="Sommario2"/>
        <w:rPr>
          <w:rFonts w:eastAsiaTheme="minorEastAsia"/>
          <w:noProof/>
          <w:lang w:val="it-IT" w:eastAsia="it-IT"/>
        </w:rPr>
      </w:pPr>
      <w:hyperlink w:anchor="_Toc56777657" w:history="1">
        <w:r w:rsidR="007F7AEB" w:rsidRPr="00E1403F">
          <w:rPr>
            <w:rStyle w:val="Collegamentoipertestuale"/>
            <w:noProof/>
          </w:rPr>
          <w:t>1.6.</w:t>
        </w:r>
        <w:r w:rsidR="007F7AEB">
          <w:rPr>
            <w:rFonts w:eastAsiaTheme="minorEastAsia"/>
            <w:noProof/>
            <w:lang w:val="it-IT" w:eastAsia="it-IT"/>
          </w:rPr>
          <w:tab/>
        </w:r>
        <w:r w:rsidR="007F7AEB" w:rsidRPr="00E1403F">
          <w:rPr>
            <w:rStyle w:val="Collegamentoipertestuale"/>
            <w:noProof/>
          </w:rPr>
          <w:t>Deduzione forfettaria per lavoratori dipendenti (articolo 11, comma 4-</w:t>
        </w:r>
        <w:r w:rsidR="007F7AEB" w:rsidRPr="00E1403F">
          <w:rPr>
            <w:rStyle w:val="Collegamentoipertestuale"/>
            <w:iCs/>
            <w:noProof/>
          </w:rPr>
          <w:t>bis.</w:t>
        </w:r>
        <w:r w:rsidR="007F7AEB" w:rsidRPr="00E1403F">
          <w:rPr>
            <w:rStyle w:val="Collegamentoipertestuale"/>
            <w:noProof/>
          </w:rPr>
          <w:t>1 del “Decreto IRAP”)</w:t>
        </w:r>
        <w:r w:rsidR="007F7AEB">
          <w:rPr>
            <w:noProof/>
            <w:webHidden/>
          </w:rPr>
          <w:tab/>
        </w:r>
        <w:r w:rsidR="007F7AEB">
          <w:rPr>
            <w:noProof/>
            <w:webHidden/>
          </w:rPr>
          <w:fldChar w:fldCharType="begin"/>
        </w:r>
        <w:r w:rsidR="007F7AEB">
          <w:rPr>
            <w:noProof/>
            <w:webHidden/>
          </w:rPr>
          <w:instrText xml:space="preserve"> PAGEREF _Toc56777657 \h </w:instrText>
        </w:r>
        <w:r w:rsidR="007F7AEB">
          <w:rPr>
            <w:noProof/>
            <w:webHidden/>
          </w:rPr>
        </w:r>
        <w:r w:rsidR="007F7AEB">
          <w:rPr>
            <w:noProof/>
            <w:webHidden/>
          </w:rPr>
          <w:fldChar w:fldCharType="separate"/>
        </w:r>
        <w:r w:rsidR="001823B1">
          <w:rPr>
            <w:noProof/>
            <w:webHidden/>
          </w:rPr>
          <w:t>12</w:t>
        </w:r>
        <w:r w:rsidR="007F7AEB">
          <w:rPr>
            <w:noProof/>
            <w:webHidden/>
          </w:rPr>
          <w:fldChar w:fldCharType="end"/>
        </w:r>
      </w:hyperlink>
    </w:p>
    <w:p w14:paraId="6FE8A735" w14:textId="6157CCFC" w:rsidR="007F7AEB" w:rsidRDefault="007D7D90">
      <w:pPr>
        <w:pStyle w:val="Sommario2"/>
        <w:rPr>
          <w:rFonts w:eastAsiaTheme="minorEastAsia"/>
          <w:noProof/>
          <w:lang w:val="it-IT" w:eastAsia="it-IT"/>
        </w:rPr>
      </w:pPr>
      <w:hyperlink w:anchor="_Toc56777658" w:history="1">
        <w:r w:rsidR="007F7AEB" w:rsidRPr="00E1403F">
          <w:rPr>
            <w:rStyle w:val="Collegamentoipertestuale"/>
            <w:noProof/>
          </w:rPr>
          <w:t>1.7.</w:t>
        </w:r>
        <w:r w:rsidR="007F7AEB">
          <w:rPr>
            <w:rFonts w:eastAsiaTheme="minorEastAsia"/>
            <w:noProof/>
            <w:lang w:val="it-IT" w:eastAsia="it-IT"/>
          </w:rPr>
          <w:tab/>
        </w:r>
        <w:r w:rsidR="007F7AEB" w:rsidRPr="00E1403F">
          <w:rPr>
            <w:rStyle w:val="Collegamentoipertestuale"/>
            <w:noProof/>
          </w:rPr>
          <w:t>Deduzione per incremento occupazionale (articolo 11, comma 4-</w:t>
        </w:r>
        <w:r w:rsidR="007F7AEB" w:rsidRPr="00E1403F">
          <w:rPr>
            <w:rStyle w:val="Collegamentoipertestuale"/>
            <w:iCs/>
            <w:noProof/>
          </w:rPr>
          <w:t xml:space="preserve">quater </w:t>
        </w:r>
        <w:r w:rsidR="007F7AEB" w:rsidRPr="00E1403F">
          <w:rPr>
            <w:rStyle w:val="Collegamentoipertestuale"/>
            <w:noProof/>
          </w:rPr>
          <w:t>del “Decreto IRAP”)</w:t>
        </w:r>
        <w:r w:rsidR="007F7AEB">
          <w:rPr>
            <w:noProof/>
            <w:webHidden/>
          </w:rPr>
          <w:tab/>
        </w:r>
        <w:r w:rsidR="007F7AEB">
          <w:rPr>
            <w:noProof/>
            <w:webHidden/>
          </w:rPr>
          <w:fldChar w:fldCharType="begin"/>
        </w:r>
        <w:r w:rsidR="007F7AEB">
          <w:rPr>
            <w:noProof/>
            <w:webHidden/>
          </w:rPr>
          <w:instrText xml:space="preserve"> PAGEREF _Toc56777658 \h </w:instrText>
        </w:r>
        <w:r w:rsidR="007F7AEB">
          <w:rPr>
            <w:noProof/>
            <w:webHidden/>
          </w:rPr>
        </w:r>
        <w:r w:rsidR="007F7AEB">
          <w:rPr>
            <w:noProof/>
            <w:webHidden/>
          </w:rPr>
          <w:fldChar w:fldCharType="separate"/>
        </w:r>
        <w:r w:rsidR="001823B1">
          <w:rPr>
            <w:noProof/>
            <w:webHidden/>
          </w:rPr>
          <w:t>13</w:t>
        </w:r>
        <w:r w:rsidR="007F7AEB">
          <w:rPr>
            <w:noProof/>
            <w:webHidden/>
          </w:rPr>
          <w:fldChar w:fldCharType="end"/>
        </w:r>
      </w:hyperlink>
    </w:p>
    <w:p w14:paraId="4B638886" w14:textId="78262548" w:rsidR="007F7AEB" w:rsidRDefault="007D7D90">
      <w:pPr>
        <w:pStyle w:val="Sommario2"/>
        <w:rPr>
          <w:rFonts w:eastAsiaTheme="minorEastAsia"/>
          <w:noProof/>
          <w:lang w:val="it-IT" w:eastAsia="it-IT"/>
        </w:rPr>
      </w:pPr>
      <w:hyperlink w:anchor="_Toc56777659" w:history="1">
        <w:r w:rsidR="007F7AEB" w:rsidRPr="00E1403F">
          <w:rPr>
            <w:rStyle w:val="Collegamentoipertestuale"/>
            <w:noProof/>
          </w:rPr>
          <w:t>1.8.</w:t>
        </w:r>
        <w:r w:rsidR="007F7AEB">
          <w:rPr>
            <w:rFonts w:eastAsiaTheme="minorEastAsia"/>
            <w:noProof/>
            <w:lang w:val="it-IT" w:eastAsia="it-IT"/>
          </w:rPr>
          <w:tab/>
        </w:r>
        <w:r w:rsidR="007F7AEB" w:rsidRPr="00E1403F">
          <w:rPr>
            <w:rStyle w:val="Collegamentoipertestuale"/>
            <w:noProof/>
          </w:rPr>
          <w:t>Deduzione del costo eccedente dei lavoratori a tempo indeterminato (articolo 11, comma 4-</w:t>
        </w:r>
        <w:r w:rsidR="007F7AEB" w:rsidRPr="00E1403F">
          <w:rPr>
            <w:rStyle w:val="Collegamentoipertestuale"/>
            <w:iCs/>
            <w:noProof/>
          </w:rPr>
          <w:t xml:space="preserve">octies </w:t>
        </w:r>
        <w:r w:rsidR="007F7AEB" w:rsidRPr="00E1403F">
          <w:rPr>
            <w:rStyle w:val="Collegamentoipertestuale"/>
            <w:noProof/>
          </w:rPr>
          <w:t>del “Decreto IRAP”)</w:t>
        </w:r>
        <w:r w:rsidR="007F7AEB">
          <w:rPr>
            <w:noProof/>
            <w:webHidden/>
          </w:rPr>
          <w:tab/>
        </w:r>
        <w:r w:rsidR="007F7AEB">
          <w:rPr>
            <w:noProof/>
            <w:webHidden/>
          </w:rPr>
          <w:fldChar w:fldCharType="begin"/>
        </w:r>
        <w:r w:rsidR="007F7AEB">
          <w:rPr>
            <w:noProof/>
            <w:webHidden/>
          </w:rPr>
          <w:instrText xml:space="preserve"> PAGEREF _Toc56777659 \h </w:instrText>
        </w:r>
        <w:r w:rsidR="007F7AEB">
          <w:rPr>
            <w:noProof/>
            <w:webHidden/>
          </w:rPr>
        </w:r>
        <w:r w:rsidR="007F7AEB">
          <w:rPr>
            <w:noProof/>
            <w:webHidden/>
          </w:rPr>
          <w:fldChar w:fldCharType="separate"/>
        </w:r>
        <w:r w:rsidR="001823B1">
          <w:rPr>
            <w:noProof/>
            <w:webHidden/>
          </w:rPr>
          <w:t>15</w:t>
        </w:r>
        <w:r w:rsidR="007F7AEB">
          <w:rPr>
            <w:noProof/>
            <w:webHidden/>
          </w:rPr>
          <w:fldChar w:fldCharType="end"/>
        </w:r>
      </w:hyperlink>
    </w:p>
    <w:p w14:paraId="447968A7" w14:textId="151057C8" w:rsidR="007F7AEB" w:rsidRDefault="007D7D90">
      <w:pPr>
        <w:pStyle w:val="Sommario1"/>
        <w:rPr>
          <w:rFonts w:eastAsiaTheme="minorEastAsia"/>
          <w:b w:val="0"/>
          <w:smallCaps w:val="0"/>
          <w:sz w:val="22"/>
          <w:szCs w:val="22"/>
          <w:lang w:val="it-IT" w:eastAsia="it-IT"/>
        </w:rPr>
      </w:pPr>
      <w:hyperlink w:anchor="_Toc56777660" w:history="1">
        <w:r w:rsidR="007F7AEB" w:rsidRPr="00E1403F">
          <w:rPr>
            <w:rStyle w:val="Collegamentoipertestuale"/>
          </w:rPr>
          <w:t>2.</w:t>
        </w:r>
        <w:r w:rsidR="007F7AEB">
          <w:rPr>
            <w:rFonts w:eastAsiaTheme="minorEastAsia"/>
            <w:b w:val="0"/>
            <w:smallCaps w:val="0"/>
            <w:sz w:val="22"/>
            <w:szCs w:val="22"/>
            <w:lang w:val="it-IT" w:eastAsia="it-IT"/>
          </w:rPr>
          <w:tab/>
        </w:r>
        <w:r w:rsidR="007F7AEB" w:rsidRPr="00E1403F">
          <w:rPr>
            <w:rStyle w:val="Collegamentoipertestuale"/>
          </w:rPr>
          <w:t>Quadro di sintesi</w:t>
        </w:r>
        <w:r w:rsidR="007F7AEB">
          <w:rPr>
            <w:webHidden/>
          </w:rPr>
          <w:tab/>
        </w:r>
        <w:r w:rsidR="007F7AEB">
          <w:rPr>
            <w:webHidden/>
          </w:rPr>
          <w:fldChar w:fldCharType="begin"/>
        </w:r>
        <w:r w:rsidR="007F7AEB">
          <w:rPr>
            <w:webHidden/>
          </w:rPr>
          <w:instrText xml:space="preserve"> PAGEREF _Toc56777660 \h </w:instrText>
        </w:r>
        <w:r w:rsidR="007F7AEB">
          <w:rPr>
            <w:webHidden/>
          </w:rPr>
        </w:r>
        <w:r w:rsidR="007F7AEB">
          <w:rPr>
            <w:webHidden/>
          </w:rPr>
          <w:fldChar w:fldCharType="separate"/>
        </w:r>
        <w:r w:rsidR="001823B1">
          <w:rPr>
            <w:webHidden/>
          </w:rPr>
          <w:t>17</w:t>
        </w:r>
        <w:r w:rsidR="007F7AEB">
          <w:rPr>
            <w:webHidden/>
          </w:rPr>
          <w:fldChar w:fldCharType="end"/>
        </w:r>
      </w:hyperlink>
    </w:p>
    <w:p w14:paraId="61B4D2B8" w14:textId="00B09EB2" w:rsidR="00DD24BF" w:rsidRPr="00DD24BF" w:rsidRDefault="007B161D" w:rsidP="00DD24BF">
      <w:r>
        <w:rPr>
          <w:b/>
          <w:smallCaps/>
          <w:noProof/>
          <w:sz w:val="24"/>
          <w:szCs w:val="24"/>
          <w:lang w:val="en-GB"/>
        </w:rPr>
        <w:fldChar w:fldCharType="end"/>
      </w:r>
    </w:p>
    <w:p w14:paraId="7104C0B8" w14:textId="77777777" w:rsidR="00DD24BF" w:rsidRDefault="00DD24BF">
      <w:pPr>
        <w:rPr>
          <w:rFonts w:ascii="Times New Roman" w:hAnsi="Times New Roman" w:cs="Times New Roman"/>
          <w:b/>
          <w:smallCaps/>
          <w:sz w:val="24"/>
          <w:szCs w:val="24"/>
        </w:rPr>
      </w:pPr>
      <w:r>
        <w:rPr>
          <w:rFonts w:ascii="Times New Roman" w:hAnsi="Times New Roman" w:cs="Times New Roman"/>
          <w:b/>
          <w:smallCaps/>
          <w:sz w:val="24"/>
          <w:szCs w:val="24"/>
        </w:rPr>
        <w:br w:type="page"/>
      </w:r>
    </w:p>
    <w:p w14:paraId="5E6257EA" w14:textId="2D93C2C4" w:rsidR="0053371E" w:rsidRDefault="00B02228" w:rsidP="00AC1AF2">
      <w:pPr>
        <w:pStyle w:val="Titolo1"/>
        <w:numPr>
          <w:ilvl w:val="0"/>
          <w:numId w:val="0"/>
        </w:numPr>
      </w:pPr>
      <w:bookmarkStart w:id="1" w:name="_Toc56777650"/>
      <w:r>
        <w:lastRenderedPageBreak/>
        <w:t>Premessa</w:t>
      </w:r>
      <w:bookmarkEnd w:id="1"/>
    </w:p>
    <w:p w14:paraId="3FD43564" w14:textId="77777777" w:rsidR="00180427" w:rsidRPr="00180427" w:rsidRDefault="00180427" w:rsidP="00180427">
      <w:pPr>
        <w:spacing w:after="120" w:line="300" w:lineRule="auto"/>
        <w:jc w:val="both"/>
        <w:rPr>
          <w:rFonts w:cstheme="minorHAnsi"/>
          <w:szCs w:val="24"/>
        </w:rPr>
      </w:pPr>
      <w:r w:rsidRPr="00180427">
        <w:rPr>
          <w:rFonts w:cstheme="minorHAnsi"/>
          <w:szCs w:val="24"/>
        </w:rPr>
        <w:t>La disciplina dell’imposta regionale sulle attività produttive (IRAP) è caratterizzata da un principio generale di indeducibilità del costo del lavoro; sia nei confronti dei soggetti che determinano la propria base imponibile analiticamente (imprese ed esercenti arti e professioni), sia nei confronti dei soggetti (enti non commerciali e pubbliche amministrazioni) che calcolano l’imposta in base al metodo c.d. “retributivo”, costituendo le retribuzioni e gli altri compensi assimilati la base di determinazione del valore aggiunto della produzione.</w:t>
      </w:r>
    </w:p>
    <w:p w14:paraId="703BF715" w14:textId="77777777" w:rsidR="00BA2F84" w:rsidRDefault="00180427" w:rsidP="00180427">
      <w:pPr>
        <w:spacing w:after="120" w:line="300" w:lineRule="auto"/>
        <w:jc w:val="both"/>
        <w:rPr>
          <w:rFonts w:cstheme="minorHAnsi"/>
          <w:szCs w:val="24"/>
        </w:rPr>
      </w:pPr>
      <w:r w:rsidRPr="00180427">
        <w:rPr>
          <w:rFonts w:cstheme="minorHAnsi"/>
          <w:szCs w:val="24"/>
        </w:rPr>
        <w:t>In deroga a detto principio generale, l’articolo 11 del</w:t>
      </w:r>
      <w:r w:rsidR="001D4294">
        <w:rPr>
          <w:rFonts w:cstheme="minorHAnsi"/>
          <w:szCs w:val="24"/>
        </w:rPr>
        <w:t xml:space="preserve"> D.lgs. n. 446 del 1997 (il c.d.</w:t>
      </w:r>
      <w:r w:rsidRPr="00180427">
        <w:rPr>
          <w:rFonts w:cstheme="minorHAnsi"/>
          <w:szCs w:val="24"/>
        </w:rPr>
        <w:t xml:space="preserve"> </w:t>
      </w:r>
      <w:r w:rsidR="00015C81">
        <w:rPr>
          <w:rFonts w:cstheme="minorHAnsi"/>
          <w:szCs w:val="24"/>
        </w:rPr>
        <w:t>“Decreto IRAP”</w:t>
      </w:r>
      <w:r w:rsidR="001D4294">
        <w:rPr>
          <w:rFonts w:cstheme="minorHAnsi"/>
          <w:szCs w:val="24"/>
        </w:rPr>
        <w:t>)</w:t>
      </w:r>
      <w:r w:rsidRPr="00180427">
        <w:rPr>
          <w:rFonts w:cstheme="minorHAnsi"/>
          <w:szCs w:val="24"/>
        </w:rPr>
        <w:t xml:space="preserve"> prevede, al ricorrere di determinate circostanze, la possibilità di operare delle deduzioni dalla base imponibile, in funzione </w:t>
      </w:r>
      <w:r w:rsidR="00BA2F84">
        <w:rPr>
          <w:rFonts w:cstheme="minorHAnsi"/>
          <w:szCs w:val="24"/>
        </w:rPr>
        <w:t xml:space="preserve">principalmente </w:t>
      </w:r>
      <w:r w:rsidRPr="00180427">
        <w:rPr>
          <w:rFonts w:cstheme="minorHAnsi"/>
          <w:szCs w:val="24"/>
        </w:rPr>
        <w:t>del costo del lavoro subito dal soggetto passivo d’imposta, nell’ottica di ridur</w:t>
      </w:r>
      <w:r w:rsidR="00BA2F84">
        <w:rPr>
          <w:rFonts w:cstheme="minorHAnsi"/>
          <w:szCs w:val="24"/>
        </w:rPr>
        <w:t>n</w:t>
      </w:r>
      <w:r w:rsidRPr="00180427">
        <w:rPr>
          <w:rFonts w:cstheme="minorHAnsi"/>
          <w:szCs w:val="24"/>
        </w:rPr>
        <w:t>e il cuneo fiscale.</w:t>
      </w:r>
    </w:p>
    <w:p w14:paraId="4B110BDA" w14:textId="53CCBB58" w:rsidR="00180427" w:rsidRPr="00180427" w:rsidRDefault="00180427" w:rsidP="00180427">
      <w:pPr>
        <w:spacing w:after="120" w:line="300" w:lineRule="auto"/>
        <w:jc w:val="both"/>
        <w:rPr>
          <w:rFonts w:cstheme="minorHAnsi"/>
          <w:szCs w:val="24"/>
        </w:rPr>
      </w:pPr>
      <w:r w:rsidRPr="00180427">
        <w:rPr>
          <w:rFonts w:cstheme="minorHAnsi"/>
          <w:szCs w:val="24"/>
        </w:rPr>
        <w:t>Trattandosi di una disciplina derogatoria del principio generale, la normativa di riferimento è soggetta ad interpretazione restrittiva, dovendosi quindi escludere la possibilità di procedere con criteri esegetici di tipo analogico o estensivo.</w:t>
      </w:r>
    </w:p>
    <w:p w14:paraId="1E8205AF" w14:textId="7525E610" w:rsidR="00BA2F84" w:rsidRDefault="00180427" w:rsidP="00180427">
      <w:pPr>
        <w:spacing w:after="120" w:line="300" w:lineRule="auto"/>
        <w:jc w:val="both"/>
        <w:rPr>
          <w:rFonts w:cstheme="minorHAnsi"/>
          <w:szCs w:val="24"/>
        </w:rPr>
      </w:pPr>
      <w:r w:rsidRPr="00180427">
        <w:rPr>
          <w:rFonts w:cstheme="minorHAnsi"/>
          <w:szCs w:val="24"/>
        </w:rPr>
        <w:t xml:space="preserve">Il sistema di deduzioni delineato dall’articolo 11 del </w:t>
      </w:r>
      <w:r w:rsidR="00015C81">
        <w:rPr>
          <w:rFonts w:cstheme="minorHAnsi"/>
          <w:szCs w:val="24"/>
        </w:rPr>
        <w:t>“Decreto IRAP”</w:t>
      </w:r>
      <w:r w:rsidRPr="00180427">
        <w:rPr>
          <w:rFonts w:cstheme="minorHAnsi"/>
          <w:szCs w:val="24"/>
        </w:rPr>
        <w:t xml:space="preserve"> è diversamente articolato in funzione delle caratteristiche soggettive dell’ente, nonché della tipologia di attività esercitata. Nell’ambito di queste disposizioni, di seguito si analizzeranno quelle </w:t>
      </w:r>
      <w:bookmarkStart w:id="2" w:name="_Hlk55988389"/>
      <w:r w:rsidRPr="00180427">
        <w:rPr>
          <w:rFonts w:cstheme="minorHAnsi"/>
          <w:szCs w:val="24"/>
        </w:rPr>
        <w:t xml:space="preserve">applicabili ai soggetti passivi di cui all’articolo 3, </w:t>
      </w:r>
      <w:r w:rsidR="00350D5B">
        <w:rPr>
          <w:rFonts w:cstheme="minorHAnsi"/>
          <w:szCs w:val="24"/>
        </w:rPr>
        <w:t>lettera</w:t>
      </w:r>
      <w:r w:rsidRPr="00180427">
        <w:rPr>
          <w:rFonts w:cstheme="minorHAnsi"/>
          <w:szCs w:val="24"/>
        </w:rPr>
        <w:t xml:space="preserve"> e) del </w:t>
      </w:r>
      <w:r w:rsidR="00015C81">
        <w:rPr>
          <w:rFonts w:cstheme="minorHAnsi"/>
          <w:szCs w:val="24"/>
        </w:rPr>
        <w:t>“Decreto IRAP”</w:t>
      </w:r>
      <w:r w:rsidR="00BA2F84">
        <w:rPr>
          <w:rFonts w:cstheme="minorHAnsi"/>
          <w:szCs w:val="24"/>
        </w:rPr>
        <w:t>; vale a dire a</w:t>
      </w:r>
      <w:r w:rsidRPr="00180427">
        <w:rPr>
          <w:rFonts w:cstheme="minorHAnsi"/>
          <w:szCs w:val="24"/>
        </w:rPr>
        <w:t xml:space="preserve">gli enti privati di cui all’articolo 73, comma 1, lettera c), del Tuir) che determinano la base imponibile IRAP con metodo retributivo, ai sensi di quanto disposto dall’articolo 10 del medesimo </w:t>
      </w:r>
      <w:r w:rsidR="00015C81">
        <w:rPr>
          <w:rFonts w:cstheme="minorHAnsi"/>
          <w:szCs w:val="24"/>
        </w:rPr>
        <w:t>“Decreto IRAP”</w:t>
      </w:r>
      <w:r w:rsidR="00BA2F84">
        <w:rPr>
          <w:rFonts w:cstheme="minorHAnsi"/>
          <w:szCs w:val="24"/>
        </w:rPr>
        <w:t xml:space="preserve"> e che svolgono sia attività istituzionale che, in misura non prevalente, attività commerciale.</w:t>
      </w:r>
    </w:p>
    <w:bookmarkEnd w:id="2"/>
    <w:p w14:paraId="583E982A" w14:textId="7D115F4D" w:rsidR="00B20F1A" w:rsidRPr="00157229" w:rsidRDefault="00180427" w:rsidP="00180427">
      <w:pPr>
        <w:spacing w:after="120" w:line="300" w:lineRule="auto"/>
        <w:jc w:val="both"/>
        <w:rPr>
          <w:rFonts w:cstheme="minorHAnsi"/>
          <w:szCs w:val="24"/>
        </w:rPr>
      </w:pPr>
      <w:r w:rsidRPr="00180427">
        <w:rPr>
          <w:rFonts w:cstheme="minorHAnsi"/>
          <w:szCs w:val="24"/>
        </w:rPr>
        <w:t xml:space="preserve">Obiettivo del presente studio è, infatti, quello di verificare quali siano le deduzioni IRAP operanti con riferimento ad un </w:t>
      </w:r>
      <w:r w:rsidR="00015C81">
        <w:rPr>
          <w:rFonts w:cstheme="minorHAnsi"/>
          <w:szCs w:val="24"/>
        </w:rPr>
        <w:t>e</w:t>
      </w:r>
      <w:r w:rsidRPr="00180427">
        <w:rPr>
          <w:rFonts w:cstheme="minorHAnsi"/>
          <w:szCs w:val="24"/>
        </w:rPr>
        <w:t>nte non commerciale di diritto privato, residente nel territorio dello Stato, che svolge (in misura non prevalente) anche attività commerciale.</w:t>
      </w:r>
    </w:p>
    <w:p w14:paraId="74605E38" w14:textId="77777777" w:rsidR="00F71442" w:rsidRPr="00D71826" w:rsidRDefault="00F71442" w:rsidP="00B02228">
      <w:pPr>
        <w:jc w:val="both"/>
        <w:rPr>
          <w:rFonts w:cstheme="minorHAnsi"/>
          <w:szCs w:val="24"/>
        </w:rPr>
      </w:pPr>
    </w:p>
    <w:p w14:paraId="300B77D1" w14:textId="77777777" w:rsidR="00D71826" w:rsidRDefault="00D71826" w:rsidP="00633A09">
      <w:pPr>
        <w:jc w:val="both"/>
        <w:rPr>
          <w:rFonts w:ascii="Times New Roman" w:hAnsi="Times New Roman" w:cs="Times New Roman"/>
          <w:sz w:val="24"/>
          <w:szCs w:val="24"/>
        </w:rPr>
      </w:pPr>
      <w:r>
        <w:rPr>
          <w:rFonts w:ascii="Times New Roman" w:hAnsi="Times New Roman" w:cs="Times New Roman"/>
          <w:sz w:val="24"/>
          <w:szCs w:val="24"/>
        </w:rPr>
        <w:br w:type="page"/>
      </w:r>
    </w:p>
    <w:p w14:paraId="43004EF0" w14:textId="608B61A7" w:rsidR="00CD07D2" w:rsidRPr="000F465A" w:rsidRDefault="00326C6A" w:rsidP="00157229">
      <w:pPr>
        <w:pStyle w:val="Titolo1"/>
      </w:pPr>
      <w:bookmarkStart w:id="3" w:name="_Toc56777651"/>
      <w:bookmarkStart w:id="4" w:name="_Hlk55471482"/>
      <w:r>
        <w:lastRenderedPageBreak/>
        <w:t xml:space="preserve">Le </w:t>
      </w:r>
      <w:r w:rsidR="00180427">
        <w:t xml:space="preserve">deduzioni IRAP di cui possono fruire gli enti non </w:t>
      </w:r>
      <w:r w:rsidR="00DE526B">
        <w:t>commerciali</w:t>
      </w:r>
      <w:bookmarkEnd w:id="3"/>
    </w:p>
    <w:bookmarkEnd w:id="4"/>
    <w:p w14:paraId="3F821723" w14:textId="77777777" w:rsidR="00D76D93" w:rsidRDefault="001D408C" w:rsidP="00157229">
      <w:pPr>
        <w:spacing w:after="120" w:line="300" w:lineRule="auto"/>
        <w:jc w:val="both"/>
        <w:rPr>
          <w:rFonts w:ascii="Calibri" w:hAnsi="Calibri" w:cs="Calibri"/>
        </w:rPr>
      </w:pPr>
      <w:r>
        <w:rPr>
          <w:rFonts w:ascii="Calibri" w:hAnsi="Calibri" w:cs="Calibri"/>
        </w:rPr>
        <w:t xml:space="preserve">Come </w:t>
      </w:r>
      <w:r w:rsidR="00BA2F84">
        <w:rPr>
          <w:rFonts w:ascii="Calibri" w:hAnsi="Calibri" w:cs="Calibri"/>
        </w:rPr>
        <w:t>anticipato</w:t>
      </w:r>
      <w:r>
        <w:rPr>
          <w:rFonts w:ascii="Calibri" w:hAnsi="Calibri" w:cs="Calibri"/>
        </w:rPr>
        <w:t>,</w:t>
      </w:r>
      <w:r w:rsidR="00BA2F84" w:rsidRPr="00BA2F84">
        <w:t xml:space="preserve"> </w:t>
      </w:r>
      <w:r w:rsidR="00BA2F84">
        <w:rPr>
          <w:rFonts w:ascii="Calibri" w:hAnsi="Calibri" w:cs="Calibri"/>
        </w:rPr>
        <w:t>l’articolo 11 del “Decreto IRAP” delinea un quadro</w:t>
      </w:r>
      <w:r w:rsidR="00BA2F84" w:rsidRPr="00BA2F84">
        <w:rPr>
          <w:rFonts w:ascii="Calibri" w:hAnsi="Calibri" w:cs="Calibri"/>
        </w:rPr>
        <w:t xml:space="preserve"> normativo caratterizzato da un complesso sistema di deduzioni </w:t>
      </w:r>
      <w:r w:rsidR="00BA2F84">
        <w:rPr>
          <w:rFonts w:ascii="Calibri" w:hAnsi="Calibri" w:cs="Calibri"/>
        </w:rPr>
        <w:t xml:space="preserve">dalla base imponibile IRAP, </w:t>
      </w:r>
      <w:r w:rsidR="00BA2F84" w:rsidRPr="00BA2F84">
        <w:rPr>
          <w:rFonts w:ascii="Calibri" w:hAnsi="Calibri" w:cs="Calibri"/>
        </w:rPr>
        <w:t>operanti in funzione delle caratteristiche soggettive del contribuente, nonché della tipologia di attività</w:t>
      </w:r>
      <w:r w:rsidR="00D76D93">
        <w:rPr>
          <w:rFonts w:ascii="Calibri" w:hAnsi="Calibri" w:cs="Calibri"/>
        </w:rPr>
        <w:t>.</w:t>
      </w:r>
    </w:p>
    <w:p w14:paraId="7D02D4AC" w14:textId="6B739B66" w:rsidR="00D76D93" w:rsidRDefault="00D76D93" w:rsidP="00157229">
      <w:pPr>
        <w:spacing w:after="120" w:line="300" w:lineRule="auto"/>
        <w:jc w:val="both"/>
        <w:rPr>
          <w:rFonts w:ascii="Calibri" w:hAnsi="Calibri" w:cs="Calibri"/>
        </w:rPr>
      </w:pPr>
      <w:r>
        <w:rPr>
          <w:rFonts w:ascii="Calibri" w:hAnsi="Calibri" w:cs="Calibri"/>
        </w:rPr>
        <w:t xml:space="preserve">Con specifico riferimento agli enti non commerciali di diritto privato, </w:t>
      </w:r>
      <w:r w:rsidRPr="00D76D93">
        <w:rPr>
          <w:rFonts w:ascii="Calibri" w:hAnsi="Calibri" w:cs="Calibri"/>
        </w:rPr>
        <w:t>di cui all’articolo 73, comma 1, lettera c), del Tuir)</w:t>
      </w:r>
      <w:r>
        <w:rPr>
          <w:rFonts w:ascii="Calibri" w:hAnsi="Calibri" w:cs="Calibri"/>
        </w:rPr>
        <w:t>,</w:t>
      </w:r>
      <w:r w:rsidRPr="00D76D93">
        <w:rPr>
          <w:rFonts w:ascii="Calibri" w:hAnsi="Calibri" w:cs="Calibri"/>
        </w:rPr>
        <w:t xml:space="preserve"> che determinano la base imponibile IRAP con metodo retributivo, ai sensi di quanto disposto dall’articolo 10 del medesimo “Decreto IRAP”</w:t>
      </w:r>
      <w:r>
        <w:rPr>
          <w:rFonts w:ascii="Calibri" w:hAnsi="Calibri" w:cs="Calibri"/>
        </w:rPr>
        <w:t xml:space="preserve"> (di seguito anche solo gli “enti non commerciali”), le singole deduzioni sono diversamente fruibili sia in funzione della tipologia di attività (istituzionale o commerciale) esercitata, sia (per quanto concerne alcune misure atte a ridurre il cuneo fiscale) in funzione della tipologia di contratto sottostante il rapporto di lavoro</w:t>
      </w:r>
      <w:r w:rsidR="00BA2F84" w:rsidRPr="00BA2F84">
        <w:rPr>
          <w:rFonts w:ascii="Calibri" w:hAnsi="Calibri" w:cs="Calibri"/>
        </w:rPr>
        <w:t xml:space="preserve">. </w:t>
      </w:r>
    </w:p>
    <w:p w14:paraId="4021AD7E" w14:textId="59EDEAF9" w:rsidR="00D76D93" w:rsidRDefault="00D76D93" w:rsidP="00157229">
      <w:pPr>
        <w:spacing w:after="120" w:line="300" w:lineRule="auto"/>
        <w:jc w:val="both"/>
        <w:rPr>
          <w:rFonts w:ascii="Calibri" w:hAnsi="Calibri" w:cs="Calibri"/>
        </w:rPr>
      </w:pPr>
      <w:r>
        <w:rPr>
          <w:rFonts w:ascii="Calibri" w:hAnsi="Calibri" w:cs="Calibri"/>
        </w:rPr>
        <w:t>Inoltre, f</w:t>
      </w:r>
      <w:r w:rsidR="00BA2F84" w:rsidRPr="00BA2F84">
        <w:rPr>
          <w:rFonts w:ascii="Calibri" w:hAnsi="Calibri" w:cs="Calibri"/>
        </w:rPr>
        <w:t>ra le deduzioni astrattamente applicabili al singolo ente</w:t>
      </w:r>
      <w:r>
        <w:rPr>
          <w:rFonts w:ascii="Calibri" w:hAnsi="Calibri" w:cs="Calibri"/>
        </w:rPr>
        <w:t xml:space="preserve"> non commerciale</w:t>
      </w:r>
      <w:r w:rsidR="00BA2F84" w:rsidRPr="00BA2F84">
        <w:rPr>
          <w:rFonts w:ascii="Calibri" w:hAnsi="Calibri" w:cs="Calibri"/>
        </w:rPr>
        <w:t>, alcune misure si pongono fra loro in una relazione di alternatività che andrà attentamente valutata al fine di poter massimizzare il beneficio fiscale spettante.</w:t>
      </w:r>
      <w:r w:rsidR="001F1CF4">
        <w:rPr>
          <w:rFonts w:ascii="Calibri" w:hAnsi="Calibri" w:cs="Calibri"/>
        </w:rPr>
        <w:t xml:space="preserve"> Siffatta valutazione strettamente quantitativa, quindi, necessariamente presuppone un’attenta analisi delle singole caratteristiche, nonché dell’ambito di applicazione, delle singole misure che, nel prosieguo, ci si appresta ad affrontare.</w:t>
      </w:r>
    </w:p>
    <w:p w14:paraId="5E567404" w14:textId="627BD5C9" w:rsidR="00E50BA3" w:rsidRPr="00E50BA3" w:rsidRDefault="008F60AD" w:rsidP="00D36947">
      <w:pPr>
        <w:pStyle w:val="Titolo2"/>
        <w:numPr>
          <w:ilvl w:val="0"/>
          <w:numId w:val="13"/>
        </w:numPr>
        <w:ind w:left="851" w:hanging="425"/>
      </w:pPr>
      <w:bookmarkStart w:id="5" w:name="_Toc56777652"/>
      <w:r>
        <w:t xml:space="preserve">Deduzione per i contributi </w:t>
      </w:r>
      <w:r w:rsidR="00B86333">
        <w:t xml:space="preserve">versati </w:t>
      </w:r>
      <w:r>
        <w:t>per le assicurazioni obbligatorie (a</w:t>
      </w:r>
      <w:r w:rsidR="00180427" w:rsidRPr="00180427">
        <w:t>rticolo 11, comma 1, lett. a), n. 1</w:t>
      </w:r>
      <w:r>
        <w:t xml:space="preserve"> del “Decreto IRAP”)</w:t>
      </w:r>
      <w:bookmarkEnd w:id="5"/>
    </w:p>
    <w:p w14:paraId="2D370DB3" w14:textId="77777777" w:rsidR="003678D3" w:rsidRDefault="00180427" w:rsidP="00180427">
      <w:pPr>
        <w:spacing w:after="120" w:line="300" w:lineRule="auto"/>
        <w:jc w:val="both"/>
        <w:rPr>
          <w:rFonts w:ascii="Calibri" w:hAnsi="Calibri" w:cs="Calibri"/>
        </w:rPr>
      </w:pPr>
      <w:r w:rsidRPr="00180427">
        <w:rPr>
          <w:rFonts w:ascii="Calibri" w:hAnsi="Calibri" w:cs="Calibri"/>
        </w:rPr>
        <w:t>La disposizione ammette in deduzione dalla base imponibile IRAP i contributi per le assicurazioni obbligatorie contro gli infortuni sul lavoro.</w:t>
      </w:r>
    </w:p>
    <w:p w14:paraId="26543DC2" w14:textId="4DEA81A8" w:rsidR="003678D3" w:rsidRDefault="00180427" w:rsidP="00180427">
      <w:pPr>
        <w:spacing w:after="120" w:line="300" w:lineRule="auto"/>
        <w:jc w:val="both"/>
        <w:rPr>
          <w:rFonts w:ascii="Calibri" w:hAnsi="Calibri" w:cs="Calibri"/>
        </w:rPr>
      </w:pPr>
      <w:r w:rsidRPr="00180427">
        <w:rPr>
          <w:rFonts w:ascii="Calibri" w:hAnsi="Calibri" w:cs="Calibri"/>
        </w:rPr>
        <w:t xml:space="preserve">La misura è rivolta unicamente </w:t>
      </w:r>
      <w:r w:rsidR="003678D3">
        <w:rPr>
          <w:rFonts w:ascii="Calibri" w:hAnsi="Calibri" w:cs="Calibri"/>
        </w:rPr>
        <w:t xml:space="preserve">agli enti non commerciali che svolgono anche attività commerciale; infatti, la medesima opera con esclusivo riferimento ai costi sostenuti in relazione </w:t>
      </w:r>
      <w:r w:rsidRPr="00180427">
        <w:rPr>
          <w:rFonts w:ascii="Calibri" w:hAnsi="Calibri" w:cs="Calibri"/>
        </w:rPr>
        <w:t>ai dipendenti impiegati nell’attività commerciale.</w:t>
      </w:r>
      <w:r w:rsidR="003678D3">
        <w:rPr>
          <w:rFonts w:ascii="Calibri" w:hAnsi="Calibri" w:cs="Calibri"/>
        </w:rPr>
        <w:t xml:space="preserve"> Con riferimento a detta limitazione, è utile osservare che agli enti non commerciali</w:t>
      </w:r>
      <w:r w:rsidRPr="00180427">
        <w:rPr>
          <w:rFonts w:ascii="Calibri" w:hAnsi="Calibri" w:cs="Calibri"/>
        </w:rPr>
        <w:t xml:space="preserve"> che svolgono unicamente attività istituzionale e determinano la propria base imponibile con metodo retributivo non spetta alcuna deduzione, in quanto </w:t>
      </w:r>
      <w:r w:rsidR="003678D3">
        <w:rPr>
          <w:rFonts w:ascii="Calibri" w:hAnsi="Calibri" w:cs="Calibri"/>
        </w:rPr>
        <w:t xml:space="preserve">detti </w:t>
      </w:r>
      <w:r w:rsidRPr="00180427">
        <w:rPr>
          <w:rFonts w:ascii="Calibri" w:hAnsi="Calibri" w:cs="Calibri"/>
        </w:rPr>
        <w:t xml:space="preserve">i contributi </w:t>
      </w:r>
      <w:r w:rsidR="003678D3">
        <w:rPr>
          <w:rFonts w:ascii="Calibri" w:hAnsi="Calibri" w:cs="Calibri"/>
        </w:rPr>
        <w:t>per le assicurazioni obbligatorie</w:t>
      </w:r>
      <w:r w:rsidRPr="00180427">
        <w:rPr>
          <w:rFonts w:ascii="Calibri" w:hAnsi="Calibri" w:cs="Calibri"/>
        </w:rPr>
        <w:t xml:space="preserve"> sono già esclusi dal calcolo del valore della produzione.</w:t>
      </w:r>
    </w:p>
    <w:p w14:paraId="27D27148" w14:textId="5598A6AD" w:rsidR="00180427" w:rsidRPr="00180427" w:rsidRDefault="003678D3" w:rsidP="00180427">
      <w:pPr>
        <w:spacing w:after="120" w:line="300" w:lineRule="auto"/>
        <w:jc w:val="both"/>
        <w:rPr>
          <w:rFonts w:ascii="Calibri" w:hAnsi="Calibri" w:cs="Calibri"/>
        </w:rPr>
      </w:pPr>
      <w:r>
        <w:rPr>
          <w:rFonts w:ascii="Calibri" w:hAnsi="Calibri" w:cs="Calibri"/>
        </w:rPr>
        <w:t>N</w:t>
      </w:r>
      <w:r w:rsidR="00180427" w:rsidRPr="00180427">
        <w:rPr>
          <w:rFonts w:ascii="Calibri" w:hAnsi="Calibri" w:cs="Calibri"/>
        </w:rPr>
        <w:t xml:space="preserve">el caso in cui i dipendenti di un ente non commerciale siano promiscuamente impiegati sia nell’attività istituzionale che in quella commerciale, l’importo della deduzione spettante va ridotto dell’importo forfettariamente imputabile all’attività istituzionale, determinato in base al rapporto di cui all’articolo 10, comma 2, del </w:t>
      </w:r>
      <w:r w:rsidR="00015C81">
        <w:rPr>
          <w:rFonts w:ascii="Calibri" w:hAnsi="Calibri" w:cs="Calibri"/>
        </w:rPr>
        <w:t>“Decreto IRAP”</w:t>
      </w:r>
      <w:r w:rsidR="00180427" w:rsidRPr="00180427">
        <w:rPr>
          <w:rFonts w:ascii="Calibri" w:hAnsi="Calibri" w:cs="Calibri"/>
        </w:rPr>
        <w:t>.</w:t>
      </w:r>
    </w:p>
    <w:p w14:paraId="5674D86E" w14:textId="03D083E1" w:rsidR="000724FD" w:rsidRDefault="00180427" w:rsidP="00D36947">
      <w:pPr>
        <w:spacing w:after="160" w:line="300" w:lineRule="auto"/>
        <w:jc w:val="both"/>
        <w:rPr>
          <w:rFonts w:ascii="Calibri" w:hAnsi="Calibri" w:cs="Calibri"/>
        </w:rPr>
      </w:pPr>
      <w:r w:rsidRPr="00180427">
        <w:rPr>
          <w:rFonts w:ascii="Calibri" w:hAnsi="Calibri" w:cs="Calibri"/>
        </w:rPr>
        <w:t>In tale ultima ipotesi, dunque, la deduzione spettante va ridotta in base alla seguente proporzione:</w:t>
      </w:r>
    </w:p>
    <w:p w14:paraId="11B05278" w14:textId="77777777" w:rsidR="00D020E1" w:rsidRPr="003678D3" w:rsidRDefault="00D020E1" w:rsidP="003678D3">
      <w:pPr>
        <w:spacing w:after="0" w:line="120" w:lineRule="atLeast"/>
        <w:jc w:val="center"/>
        <w:rPr>
          <w:rFonts w:cstheme="minorHAnsi"/>
          <w:sz w:val="16"/>
          <w:szCs w:val="16"/>
        </w:rPr>
      </w:pPr>
      <w:bookmarkStart w:id="6" w:name="_Hlk55470984"/>
      <w:r w:rsidRPr="003678D3">
        <w:rPr>
          <w:rFonts w:cstheme="minorHAnsi"/>
          <w:sz w:val="16"/>
          <w:szCs w:val="16"/>
        </w:rPr>
        <w:t>Ammontare dei ricavi e degli altri proventi relativi all’attività istituzionale (rilevanti ai fini IRAP)</w:t>
      </w:r>
    </w:p>
    <w:p w14:paraId="34587660" w14:textId="77777777" w:rsidR="00D020E1" w:rsidRPr="003678D3" w:rsidRDefault="00D020E1" w:rsidP="00D36947">
      <w:pPr>
        <w:spacing w:after="0" w:line="120" w:lineRule="exact"/>
        <w:jc w:val="center"/>
        <w:rPr>
          <w:rFonts w:cstheme="minorHAnsi"/>
          <w:sz w:val="16"/>
          <w:szCs w:val="16"/>
        </w:rPr>
      </w:pPr>
      <w:r w:rsidRPr="003678D3">
        <w:rPr>
          <w:rFonts w:cstheme="minorHAnsi"/>
          <w:sz w:val="16"/>
          <w:szCs w:val="16"/>
        </w:rPr>
        <w:t>_____________________________________________________________________________</w:t>
      </w:r>
    </w:p>
    <w:p w14:paraId="40C1FDDE" w14:textId="77777777" w:rsidR="00D020E1" w:rsidRPr="003678D3" w:rsidRDefault="00D020E1" w:rsidP="00D020E1">
      <w:pPr>
        <w:spacing w:after="120" w:line="240" w:lineRule="exact"/>
        <w:jc w:val="center"/>
        <w:rPr>
          <w:rFonts w:cstheme="minorHAnsi"/>
          <w:sz w:val="16"/>
          <w:szCs w:val="16"/>
        </w:rPr>
      </w:pPr>
      <w:r w:rsidRPr="003678D3">
        <w:rPr>
          <w:rFonts w:cstheme="minorHAnsi"/>
          <w:sz w:val="16"/>
          <w:szCs w:val="16"/>
        </w:rPr>
        <w:t>ammontare complessivo di tutti i ricavi e proventi</w:t>
      </w:r>
    </w:p>
    <w:bookmarkEnd w:id="6"/>
    <w:p w14:paraId="5CABDBF3" w14:textId="589FFF4E" w:rsidR="00180427" w:rsidRDefault="00D020E1" w:rsidP="00D36947">
      <w:pPr>
        <w:spacing w:before="160" w:after="120" w:line="300" w:lineRule="auto"/>
        <w:jc w:val="both"/>
        <w:rPr>
          <w:rFonts w:ascii="Calibri" w:hAnsi="Calibri" w:cs="Calibri"/>
        </w:rPr>
      </w:pPr>
      <w:r w:rsidRPr="00D020E1">
        <w:rPr>
          <w:rFonts w:ascii="Calibri" w:hAnsi="Calibri" w:cs="Calibri"/>
        </w:rPr>
        <w:t xml:space="preserve">La deduzione </w:t>
      </w:r>
      <w:r w:rsidR="003678D3">
        <w:rPr>
          <w:rFonts w:ascii="Calibri" w:hAnsi="Calibri" w:cs="Calibri"/>
        </w:rPr>
        <w:t xml:space="preserve">in esame </w:t>
      </w:r>
      <w:r w:rsidRPr="00D020E1">
        <w:rPr>
          <w:rFonts w:ascii="Calibri" w:hAnsi="Calibri" w:cs="Calibri"/>
        </w:rPr>
        <w:t xml:space="preserve">non è alternativa </w:t>
      </w:r>
      <w:r w:rsidR="003678D3">
        <w:rPr>
          <w:rFonts w:ascii="Calibri" w:hAnsi="Calibri" w:cs="Calibri"/>
        </w:rPr>
        <w:t>alle altre misure previste dall’articolo 11 del “Decreto IRAP” e, pertanto,</w:t>
      </w:r>
      <w:r w:rsidRPr="00D020E1">
        <w:rPr>
          <w:rFonts w:ascii="Calibri" w:hAnsi="Calibri" w:cs="Calibri"/>
        </w:rPr>
        <w:t xml:space="preserve"> può essere cumulata alle altre deduzioni </w:t>
      </w:r>
      <w:r w:rsidR="003678D3">
        <w:rPr>
          <w:rFonts w:ascii="Calibri" w:hAnsi="Calibri" w:cs="Calibri"/>
        </w:rPr>
        <w:t>di seguito esaminate</w:t>
      </w:r>
      <w:r w:rsidRPr="00D020E1">
        <w:rPr>
          <w:rFonts w:ascii="Calibri" w:hAnsi="Calibri" w:cs="Calibri"/>
        </w:rPr>
        <w:t>.</w:t>
      </w:r>
    </w:p>
    <w:p w14:paraId="1DFD13C2" w14:textId="2ED1A557" w:rsidR="00E50BA3" w:rsidRPr="00157229" w:rsidRDefault="00D75ADA" w:rsidP="00157229">
      <w:pPr>
        <w:pStyle w:val="Titolo2"/>
        <w:numPr>
          <w:ilvl w:val="0"/>
          <w:numId w:val="13"/>
        </w:numPr>
        <w:ind w:left="851" w:hanging="425"/>
      </w:pPr>
      <w:bookmarkStart w:id="7" w:name="_Toc56777653"/>
      <w:r>
        <w:lastRenderedPageBreak/>
        <w:t>Deduzione forfettaria per ridurre il cuneo fiscale (a</w:t>
      </w:r>
      <w:r w:rsidR="005E1C5B" w:rsidRPr="005E1C5B">
        <w:t>rticolo 11, comma 1, lett. a), n. 2</w:t>
      </w:r>
      <w:r>
        <w:t>, del “Decreto IRAP”)</w:t>
      </w:r>
      <w:bookmarkEnd w:id="7"/>
    </w:p>
    <w:p w14:paraId="1D1273D6" w14:textId="77777777" w:rsidR="00EA4764" w:rsidRDefault="005E1C5B" w:rsidP="00157229">
      <w:pPr>
        <w:spacing w:after="120" w:line="300" w:lineRule="auto"/>
        <w:jc w:val="both"/>
        <w:rPr>
          <w:rFonts w:ascii="Calibri" w:hAnsi="Calibri" w:cs="Calibri"/>
        </w:rPr>
      </w:pPr>
      <w:r w:rsidRPr="005E1C5B">
        <w:rPr>
          <w:rFonts w:ascii="Calibri" w:hAnsi="Calibri" w:cs="Calibri"/>
        </w:rPr>
        <w:t>La disposizione ammette in deduzione dalla base imponibile IRAP un importo pari a 7.500,00 euro, su base annua, per ogni lavoratore dipendente a tempo indeterminato impiegato nel periodo d’imposta</w:t>
      </w:r>
      <w:r w:rsidR="00EA4764">
        <w:rPr>
          <w:rFonts w:ascii="Calibri" w:hAnsi="Calibri" w:cs="Calibri"/>
        </w:rPr>
        <w:t>. L’importo della deduzione fruibile viene</w:t>
      </w:r>
      <w:r w:rsidRPr="005E1C5B">
        <w:rPr>
          <w:rFonts w:ascii="Calibri" w:hAnsi="Calibri" w:cs="Calibri"/>
        </w:rPr>
        <w:t xml:space="preserve"> aumentato a 13.500,00 euro per le lavoratrici, nonché per i lavoratori di età inferiore a 35 anni.</w:t>
      </w:r>
    </w:p>
    <w:p w14:paraId="214F21A9" w14:textId="0A2EF2A0" w:rsidR="00A07589" w:rsidRPr="00516B4C" w:rsidRDefault="005E1C5B" w:rsidP="00157229">
      <w:pPr>
        <w:spacing w:after="120" w:line="300" w:lineRule="auto"/>
        <w:jc w:val="both"/>
        <w:rPr>
          <w:rFonts w:ascii="Calibri" w:hAnsi="Calibri" w:cs="Calibri"/>
        </w:rPr>
      </w:pPr>
      <w:r w:rsidRPr="005E1C5B">
        <w:rPr>
          <w:rFonts w:ascii="Calibri" w:hAnsi="Calibri" w:cs="Calibri"/>
        </w:rPr>
        <w:t>L’ambito di applicazione della deduzione in esame subisce alcune limitazioni soggettive</w:t>
      </w:r>
      <w:r w:rsidR="00EA4764">
        <w:rPr>
          <w:rFonts w:ascii="Calibri" w:hAnsi="Calibri" w:cs="Calibri"/>
        </w:rPr>
        <w:t>; i</w:t>
      </w:r>
      <w:r w:rsidRPr="005E1C5B">
        <w:rPr>
          <w:rFonts w:ascii="Calibri" w:hAnsi="Calibri" w:cs="Calibri"/>
        </w:rPr>
        <w:t>n particolare, possono fruire della medesima i seguenti soggetti:</w:t>
      </w:r>
    </w:p>
    <w:p w14:paraId="00A7BC98" w14:textId="77777777" w:rsidR="005E1C5B" w:rsidRPr="005E1C5B" w:rsidRDefault="005E1C5B" w:rsidP="00D36947">
      <w:pPr>
        <w:pStyle w:val="Paragrafoelenco"/>
        <w:numPr>
          <w:ilvl w:val="0"/>
          <w:numId w:val="15"/>
        </w:numPr>
        <w:spacing w:after="120" w:line="300" w:lineRule="auto"/>
        <w:ind w:left="426" w:hanging="284"/>
        <w:jc w:val="both"/>
        <w:rPr>
          <w:rFonts w:ascii="Calibri" w:hAnsi="Calibri" w:cs="Calibri"/>
        </w:rPr>
      </w:pPr>
      <w:r w:rsidRPr="005E1C5B">
        <w:rPr>
          <w:rFonts w:ascii="Calibri" w:hAnsi="Calibri" w:cs="Calibri"/>
        </w:rPr>
        <w:t>le società per azioni e in accomandita per azioni, le società a responsabilità limitata, le società cooperative e le società di mutua assicurazione, nonché le società europee di cui al regolamento (CE) n. 2157/2001 e le società cooperative europee di cui al regolamento (CE) n. 1435/2003;</w:t>
      </w:r>
    </w:p>
    <w:p w14:paraId="3DFAD395" w14:textId="77777777" w:rsidR="005E1C5B" w:rsidRPr="005E1C5B" w:rsidRDefault="005E1C5B" w:rsidP="00D36947">
      <w:pPr>
        <w:pStyle w:val="Paragrafoelenco"/>
        <w:numPr>
          <w:ilvl w:val="0"/>
          <w:numId w:val="15"/>
        </w:numPr>
        <w:spacing w:after="120" w:line="300" w:lineRule="auto"/>
        <w:ind w:left="426" w:hanging="284"/>
        <w:jc w:val="both"/>
        <w:rPr>
          <w:rFonts w:ascii="Calibri" w:hAnsi="Calibri" w:cs="Calibri"/>
        </w:rPr>
      </w:pPr>
      <w:r w:rsidRPr="005E1C5B">
        <w:rPr>
          <w:rFonts w:ascii="Calibri" w:hAnsi="Calibri" w:cs="Calibri"/>
        </w:rPr>
        <w:t>gli enti pubblici e privati diversi dalle società, nonché i trust che hanno per oggetto esclusivo o principale l’esercizio di attività commerciali;</w:t>
      </w:r>
    </w:p>
    <w:p w14:paraId="5A93D617" w14:textId="77777777" w:rsidR="005E1C5B" w:rsidRPr="005E1C5B" w:rsidRDefault="005E1C5B" w:rsidP="00D36947">
      <w:pPr>
        <w:pStyle w:val="Paragrafoelenco"/>
        <w:numPr>
          <w:ilvl w:val="0"/>
          <w:numId w:val="15"/>
        </w:numPr>
        <w:spacing w:after="120" w:line="300" w:lineRule="auto"/>
        <w:ind w:left="426" w:hanging="284"/>
        <w:jc w:val="both"/>
        <w:rPr>
          <w:rFonts w:ascii="Calibri" w:hAnsi="Calibri" w:cs="Calibri"/>
        </w:rPr>
      </w:pPr>
      <w:r w:rsidRPr="005E1C5B">
        <w:rPr>
          <w:rFonts w:ascii="Calibri" w:hAnsi="Calibri" w:cs="Calibri"/>
        </w:rPr>
        <w:t>le società in nome collettivo e in accomandita semplice (e quelle ad esse equiparate);</w:t>
      </w:r>
    </w:p>
    <w:p w14:paraId="74892949" w14:textId="77777777" w:rsidR="005E1C5B" w:rsidRPr="005E1C5B" w:rsidRDefault="005E1C5B" w:rsidP="00D36947">
      <w:pPr>
        <w:pStyle w:val="Paragrafoelenco"/>
        <w:numPr>
          <w:ilvl w:val="0"/>
          <w:numId w:val="15"/>
        </w:numPr>
        <w:spacing w:after="120" w:line="300" w:lineRule="auto"/>
        <w:ind w:left="426" w:hanging="284"/>
        <w:jc w:val="both"/>
        <w:rPr>
          <w:rFonts w:ascii="Calibri" w:hAnsi="Calibri" w:cs="Calibri"/>
        </w:rPr>
      </w:pPr>
      <w:r w:rsidRPr="005E1C5B">
        <w:rPr>
          <w:rFonts w:ascii="Calibri" w:hAnsi="Calibri" w:cs="Calibri"/>
        </w:rPr>
        <w:t>gli enti privati diversi dalle società, i trust che non hanno per oggetto esclusivo o principale l’esercizio di attività commerciale, nonché gli organismi di investimento collettivo del risparmio, residenti nel territorio dello Stato;</w:t>
      </w:r>
    </w:p>
    <w:p w14:paraId="4D01DC2A" w14:textId="77777777" w:rsidR="005E1C5B" w:rsidRPr="005E1C5B" w:rsidRDefault="005E1C5B" w:rsidP="00D36947">
      <w:pPr>
        <w:pStyle w:val="Paragrafoelenco"/>
        <w:numPr>
          <w:ilvl w:val="0"/>
          <w:numId w:val="15"/>
        </w:numPr>
        <w:spacing w:after="120" w:line="300" w:lineRule="auto"/>
        <w:ind w:left="426" w:hanging="284"/>
        <w:jc w:val="both"/>
        <w:rPr>
          <w:rFonts w:ascii="Calibri" w:hAnsi="Calibri" w:cs="Calibri"/>
        </w:rPr>
      </w:pPr>
      <w:r w:rsidRPr="005E1C5B">
        <w:rPr>
          <w:rFonts w:ascii="Calibri" w:hAnsi="Calibri" w:cs="Calibri"/>
        </w:rPr>
        <w:t>le persone fisiche esercenti attività d’impresa;</w:t>
      </w:r>
    </w:p>
    <w:p w14:paraId="5B6820D5" w14:textId="77777777" w:rsidR="005E1C5B" w:rsidRPr="005E1C5B" w:rsidRDefault="005E1C5B" w:rsidP="00D36947">
      <w:pPr>
        <w:pStyle w:val="Paragrafoelenco"/>
        <w:numPr>
          <w:ilvl w:val="0"/>
          <w:numId w:val="15"/>
        </w:numPr>
        <w:spacing w:after="120" w:line="300" w:lineRule="auto"/>
        <w:ind w:left="426" w:hanging="284"/>
        <w:jc w:val="both"/>
        <w:rPr>
          <w:rFonts w:ascii="Calibri" w:hAnsi="Calibri" w:cs="Calibri"/>
        </w:rPr>
      </w:pPr>
      <w:r w:rsidRPr="005E1C5B">
        <w:rPr>
          <w:rFonts w:ascii="Calibri" w:hAnsi="Calibri" w:cs="Calibri"/>
        </w:rPr>
        <w:t>le persone fisiche, le società semplici (e quelle ad esse equiparate) esercenti arti e professioni;</w:t>
      </w:r>
    </w:p>
    <w:p w14:paraId="44C06298" w14:textId="77777777" w:rsidR="005E1C5B" w:rsidRPr="005E1C5B" w:rsidRDefault="005E1C5B" w:rsidP="00D36947">
      <w:pPr>
        <w:pStyle w:val="Paragrafoelenco"/>
        <w:numPr>
          <w:ilvl w:val="0"/>
          <w:numId w:val="15"/>
        </w:numPr>
        <w:spacing w:after="120" w:line="300" w:lineRule="auto"/>
        <w:ind w:left="426" w:hanging="284"/>
        <w:jc w:val="both"/>
        <w:rPr>
          <w:rFonts w:ascii="Calibri" w:hAnsi="Calibri" w:cs="Calibri"/>
        </w:rPr>
      </w:pPr>
      <w:r w:rsidRPr="005E1C5B">
        <w:rPr>
          <w:rFonts w:ascii="Calibri" w:hAnsi="Calibri" w:cs="Calibri"/>
        </w:rPr>
        <w:t>le società e gli enti di ogni tipo, compresi i trust, con o senza personalità giuridica, non residenti nel territorio dello Stato.</w:t>
      </w:r>
    </w:p>
    <w:p w14:paraId="29F9CB3C" w14:textId="3FE293F1" w:rsidR="005E1C5B" w:rsidRPr="005E1C5B" w:rsidRDefault="005E1C5B" w:rsidP="005E1C5B">
      <w:pPr>
        <w:spacing w:after="120" w:line="300" w:lineRule="auto"/>
        <w:jc w:val="both"/>
        <w:rPr>
          <w:rFonts w:ascii="Calibri" w:hAnsi="Calibri" w:cs="Calibri"/>
        </w:rPr>
      </w:pPr>
      <w:r w:rsidRPr="005E1C5B">
        <w:rPr>
          <w:rFonts w:ascii="Calibri" w:hAnsi="Calibri" w:cs="Calibri"/>
        </w:rPr>
        <w:t>Risultano quindi escluse, per espressa previsione normativa, le amministrazioni pubbliche di cui all’articolo 1, comma 2, del D.lgs. 3 febbraio del 1993, n. 29, nonché le amministrazioni della Camera dei Deputati, del Senato, della Corte costituzionale, della Presidenza della Repubblica e gli organi legislativi delle Regioni a statuto speciale</w:t>
      </w:r>
      <w:r w:rsidR="003C4137">
        <w:rPr>
          <w:rStyle w:val="Rimandonotaapidipagina"/>
          <w:rFonts w:ascii="Calibri" w:hAnsi="Calibri" w:cs="Calibri"/>
        </w:rPr>
        <w:footnoteReference w:id="1"/>
      </w:r>
      <w:r w:rsidRPr="005E1C5B">
        <w:rPr>
          <w:rFonts w:ascii="Calibri" w:hAnsi="Calibri" w:cs="Calibri"/>
        </w:rPr>
        <w:t xml:space="preserve">. </w:t>
      </w:r>
    </w:p>
    <w:p w14:paraId="6EF690B7" w14:textId="626C8E4F" w:rsidR="005E1C5B" w:rsidRPr="005E1C5B" w:rsidRDefault="005E1C5B" w:rsidP="005E1C5B">
      <w:pPr>
        <w:spacing w:after="120" w:line="300" w:lineRule="auto"/>
        <w:jc w:val="both"/>
        <w:rPr>
          <w:rFonts w:ascii="Calibri" w:hAnsi="Calibri" w:cs="Calibri"/>
        </w:rPr>
      </w:pPr>
      <w:r w:rsidRPr="005E1C5B">
        <w:rPr>
          <w:rFonts w:ascii="Calibri" w:hAnsi="Calibri" w:cs="Calibri"/>
        </w:rPr>
        <w:t xml:space="preserve">Sono altresì escluse le imprese operanti in concessione e a tariffa nei settori dell’energia, dell’acqua, dei trasporti, delle infrastrutture, delle poste, delle telecomunicazioni, della raccolta e depurazione delle acque di scarico e della raccolta e smaltimento dei rifiuti. Viceversa, </w:t>
      </w:r>
      <w:r w:rsidR="00220372" w:rsidRPr="005E1C5B">
        <w:rPr>
          <w:rFonts w:ascii="Calibri" w:hAnsi="Calibri" w:cs="Calibri"/>
        </w:rPr>
        <w:t xml:space="preserve">rientrano </w:t>
      </w:r>
      <w:r w:rsidRPr="005E1C5B">
        <w:rPr>
          <w:rFonts w:ascii="Calibri" w:hAnsi="Calibri" w:cs="Calibri"/>
        </w:rPr>
        <w:t>nell’ambito soggettivo della deduzione in esame gli enti non commerciali</w:t>
      </w:r>
      <w:r w:rsidR="00220372">
        <w:rPr>
          <w:rFonts w:ascii="Calibri" w:hAnsi="Calibri" w:cs="Calibri"/>
        </w:rPr>
        <w:t xml:space="preserve"> di diritto privato</w:t>
      </w:r>
      <w:r w:rsidRPr="005E1C5B">
        <w:rPr>
          <w:rFonts w:ascii="Calibri" w:hAnsi="Calibri" w:cs="Calibri"/>
        </w:rPr>
        <w:t>, che determinano la base imponibile IRAP con il sistema retributivo</w:t>
      </w:r>
      <w:r w:rsidR="00AB5F77">
        <w:rPr>
          <w:rStyle w:val="Rimandonotaapidipagina"/>
          <w:rFonts w:ascii="Calibri" w:hAnsi="Calibri" w:cs="Calibri"/>
        </w:rPr>
        <w:footnoteReference w:id="2"/>
      </w:r>
      <w:r w:rsidR="00AB5F77">
        <w:rPr>
          <w:rFonts w:ascii="Calibri" w:hAnsi="Calibri" w:cs="Calibri"/>
        </w:rPr>
        <w:t>.</w:t>
      </w:r>
    </w:p>
    <w:p w14:paraId="041AA71B" w14:textId="18F7FD2F" w:rsidR="005E1C5B" w:rsidRPr="005E1C5B" w:rsidRDefault="005E1C5B" w:rsidP="005E1C5B">
      <w:pPr>
        <w:spacing w:after="120" w:line="300" w:lineRule="auto"/>
        <w:jc w:val="both"/>
        <w:rPr>
          <w:rFonts w:ascii="Calibri" w:hAnsi="Calibri" w:cs="Calibri"/>
        </w:rPr>
      </w:pPr>
      <w:r w:rsidRPr="005E1C5B">
        <w:rPr>
          <w:rFonts w:ascii="Calibri" w:hAnsi="Calibri" w:cs="Calibri"/>
        </w:rPr>
        <w:lastRenderedPageBreak/>
        <w:t>Il diritto a poter fruire della deduzione in esame è circoscritto, per espressa previsione normativa, ai dipendenti a tempo indeterminato. Non è quindi possibile usufruire della deduzione in esame in relazione, per esempio, a rapporti di collaborazione coordinata e continuativa</w:t>
      </w:r>
      <w:r w:rsidR="00FB3E03">
        <w:rPr>
          <w:rStyle w:val="Rimandonotaapidipagina"/>
          <w:rFonts w:ascii="Calibri" w:hAnsi="Calibri" w:cs="Calibri"/>
        </w:rPr>
        <w:footnoteReference w:id="3"/>
      </w:r>
      <w:r w:rsidRPr="005E1C5B">
        <w:rPr>
          <w:rFonts w:ascii="Calibri" w:hAnsi="Calibri" w:cs="Calibri"/>
        </w:rPr>
        <w:t>.</w:t>
      </w:r>
      <w:r w:rsidR="00D57617">
        <w:rPr>
          <w:rFonts w:ascii="Calibri" w:hAnsi="Calibri" w:cs="Calibri"/>
        </w:rPr>
        <w:t xml:space="preserve"> </w:t>
      </w:r>
      <w:r w:rsidRPr="005E1C5B">
        <w:rPr>
          <w:rFonts w:ascii="Calibri" w:hAnsi="Calibri" w:cs="Calibri"/>
        </w:rPr>
        <w:t>Nessuna deduzione spetta, altresì, in relazione al personale dipendente destinato dall’impresa a strutture produttive estere. In tal caso, infatti, le deduzioni devono intendersi implicitamente assorbite nella previa esclusione dalla base imponibile del valore della produzione realizzato fuori dal territorio dello Stato. Ciò a prescindere dal parametro rilevante per i diversi soggetti passivi ai fini della determinazione della quota di valore della produzione realizzata all’estero</w:t>
      </w:r>
      <w:r w:rsidR="00FB3E03">
        <w:rPr>
          <w:rStyle w:val="Rimandonotaapidipagina"/>
          <w:rFonts w:ascii="Calibri" w:hAnsi="Calibri" w:cs="Calibri"/>
        </w:rPr>
        <w:footnoteReference w:id="4"/>
      </w:r>
      <w:r w:rsidRPr="005E1C5B">
        <w:rPr>
          <w:rFonts w:ascii="Calibri" w:hAnsi="Calibri" w:cs="Calibri"/>
        </w:rPr>
        <w:t>.</w:t>
      </w:r>
    </w:p>
    <w:p w14:paraId="1B93ECC5" w14:textId="77777777" w:rsidR="00D57617" w:rsidRDefault="005E1C5B" w:rsidP="005E1C5B">
      <w:pPr>
        <w:spacing w:after="120" w:line="300" w:lineRule="auto"/>
        <w:jc w:val="both"/>
        <w:rPr>
          <w:rFonts w:ascii="Calibri" w:hAnsi="Calibri" w:cs="Calibri"/>
        </w:rPr>
      </w:pPr>
      <w:r w:rsidRPr="005E1C5B">
        <w:rPr>
          <w:rFonts w:ascii="Calibri" w:hAnsi="Calibri" w:cs="Calibri"/>
        </w:rPr>
        <w:t>Con riferimento ai lavoratori dipendenti a tempo indeterminato impiegati a tempo parziale (</w:t>
      </w:r>
      <w:r w:rsidR="007068CC">
        <w:rPr>
          <w:rFonts w:ascii="Calibri" w:hAnsi="Calibri" w:cs="Calibri"/>
        </w:rPr>
        <w:t xml:space="preserve">con contratti di </w:t>
      </w:r>
      <w:r w:rsidR="007068CC">
        <w:rPr>
          <w:rFonts w:ascii="Calibri" w:hAnsi="Calibri" w:cs="Calibri"/>
          <w:i/>
          <w:iCs/>
        </w:rPr>
        <w:t xml:space="preserve">part-time </w:t>
      </w:r>
      <w:r w:rsidRPr="005E1C5B">
        <w:rPr>
          <w:rFonts w:ascii="Calibri" w:hAnsi="Calibri" w:cs="Calibri"/>
        </w:rPr>
        <w:t>anche di tipo verticale e misto), il comma 4-</w:t>
      </w:r>
      <w:r w:rsidRPr="00015C81">
        <w:rPr>
          <w:rFonts w:ascii="Calibri" w:hAnsi="Calibri" w:cs="Calibri"/>
          <w:i/>
          <w:iCs/>
        </w:rPr>
        <w:t>bis</w:t>
      </w:r>
      <w:r w:rsidRPr="005E1C5B">
        <w:rPr>
          <w:rFonts w:ascii="Calibri" w:hAnsi="Calibri" w:cs="Calibri"/>
        </w:rPr>
        <w:t>.2 dell’articolo 11 in rassegna prevede che la deduzione venga ragguagliata alla durata del rapporto di lavoro, su base annua.</w:t>
      </w:r>
    </w:p>
    <w:p w14:paraId="6E7CA4A2" w14:textId="630395BA" w:rsidR="005E1C5B" w:rsidRPr="005E1C5B" w:rsidRDefault="005E1C5B" w:rsidP="005E1C5B">
      <w:pPr>
        <w:spacing w:after="120" w:line="300" w:lineRule="auto"/>
        <w:jc w:val="both"/>
        <w:rPr>
          <w:rFonts w:ascii="Calibri" w:hAnsi="Calibri" w:cs="Calibri"/>
        </w:rPr>
      </w:pPr>
      <w:r w:rsidRPr="005E1C5B">
        <w:rPr>
          <w:rFonts w:ascii="Calibri" w:hAnsi="Calibri" w:cs="Calibri"/>
        </w:rPr>
        <w:t>Pertanto, l’importo della deduzione forfettaria deve essere ridotto in misura proporzionale alla durata del rapporto di lavoro (in caso di periodo d’imposta di durata inferiore o superiore ai 12 mesi e in caso di inizio o cessazione dell’attività in corso d’anno) e ridotto in misura proporzionale per i rapporti di lavoro a tempo parziale di tipo verticale e misto.</w:t>
      </w:r>
      <w:r w:rsidR="007068CC">
        <w:rPr>
          <w:rFonts w:ascii="Calibri" w:hAnsi="Calibri" w:cs="Calibri"/>
        </w:rPr>
        <w:t xml:space="preserve"> </w:t>
      </w:r>
      <w:r w:rsidRPr="005E1C5B">
        <w:rPr>
          <w:rFonts w:ascii="Calibri" w:hAnsi="Calibri" w:cs="Calibri"/>
        </w:rPr>
        <w:t>Similmente, nel caso in cui i lavoratori non siano impiegati per l’intero periodo d’imposta, si deve tenere conto unicamente degli effettivi giorni di calendario durante i quali i lavoratori hanno fatto parte della forza lavoro</w:t>
      </w:r>
      <w:r w:rsidR="007068CC">
        <w:rPr>
          <w:rStyle w:val="Rimandonotaapidipagina"/>
          <w:rFonts w:ascii="Calibri" w:hAnsi="Calibri" w:cs="Calibri"/>
        </w:rPr>
        <w:footnoteReference w:id="5"/>
      </w:r>
      <w:r w:rsidRPr="005E1C5B">
        <w:rPr>
          <w:rFonts w:ascii="Calibri" w:hAnsi="Calibri" w:cs="Calibri"/>
        </w:rPr>
        <w:t>.</w:t>
      </w:r>
    </w:p>
    <w:p w14:paraId="0F2A8A24" w14:textId="529EE24A" w:rsidR="00D57617" w:rsidRDefault="005E1C5B" w:rsidP="00D36947">
      <w:pPr>
        <w:spacing w:after="240" w:line="300" w:lineRule="auto"/>
        <w:jc w:val="both"/>
        <w:rPr>
          <w:rFonts w:ascii="Calibri" w:hAnsi="Calibri" w:cs="Calibri"/>
        </w:rPr>
      </w:pPr>
      <w:r w:rsidRPr="005E1C5B">
        <w:rPr>
          <w:rFonts w:ascii="Calibri" w:hAnsi="Calibri" w:cs="Calibri"/>
        </w:rPr>
        <w:t xml:space="preserve">Con riferimento agli </w:t>
      </w:r>
      <w:r w:rsidR="00C55FA5">
        <w:rPr>
          <w:rFonts w:ascii="Calibri" w:hAnsi="Calibri" w:cs="Calibri"/>
        </w:rPr>
        <w:t>e</w:t>
      </w:r>
      <w:r w:rsidRPr="005E1C5B">
        <w:rPr>
          <w:rFonts w:ascii="Calibri" w:hAnsi="Calibri" w:cs="Calibri"/>
        </w:rPr>
        <w:t>nti non commerciali, l’ultimo periodo del cenato comma 4-</w:t>
      </w:r>
      <w:r w:rsidRPr="007068CC">
        <w:rPr>
          <w:rFonts w:ascii="Calibri" w:hAnsi="Calibri" w:cs="Calibri"/>
          <w:i/>
          <w:iCs/>
        </w:rPr>
        <w:t>bis</w:t>
      </w:r>
      <w:r w:rsidRPr="005E1C5B">
        <w:rPr>
          <w:rFonts w:ascii="Calibri" w:hAnsi="Calibri" w:cs="Calibri"/>
        </w:rPr>
        <w:t>.2 prevede che la deduzione compete unicamente in relazione ai dipendenti impiegati nell’attività commerciale eventualmente esercitata dall’ente in via non esclusiva o prevalente.</w:t>
      </w:r>
      <w:r w:rsidR="00D57617">
        <w:rPr>
          <w:rFonts w:ascii="Calibri" w:hAnsi="Calibri" w:cs="Calibri"/>
        </w:rPr>
        <w:t xml:space="preserve"> </w:t>
      </w:r>
      <w:r w:rsidR="007068CC">
        <w:rPr>
          <w:rFonts w:ascii="Calibri" w:hAnsi="Calibri" w:cs="Calibri"/>
        </w:rPr>
        <w:t>In ipotesi di</w:t>
      </w:r>
      <w:r w:rsidRPr="005E1C5B">
        <w:rPr>
          <w:rFonts w:ascii="Calibri" w:hAnsi="Calibri" w:cs="Calibri"/>
        </w:rPr>
        <w:t xml:space="preserve"> lavoratori impiegati promiscuamente sia nell’attività istituzionale che in quella commerciale, l’importo della deduzione va ridotto dell’importo forfettariamente imputabile all’attività istituzionale, determinato in base al rapporto di cui all’articolo 10, comma 2, del </w:t>
      </w:r>
      <w:r w:rsidR="00015C81">
        <w:rPr>
          <w:rFonts w:ascii="Calibri" w:hAnsi="Calibri" w:cs="Calibri"/>
        </w:rPr>
        <w:t>“Decreto IRAP”</w:t>
      </w:r>
      <w:r w:rsidRPr="005E1C5B">
        <w:rPr>
          <w:rFonts w:ascii="Calibri" w:hAnsi="Calibri" w:cs="Calibri"/>
        </w:rPr>
        <w:t>.</w:t>
      </w:r>
      <w:r w:rsidR="00D57617">
        <w:rPr>
          <w:rFonts w:ascii="Calibri" w:hAnsi="Calibri" w:cs="Calibri"/>
        </w:rPr>
        <w:t xml:space="preserve"> </w:t>
      </w:r>
      <w:r w:rsidRPr="005E1C5B">
        <w:rPr>
          <w:rFonts w:ascii="Calibri" w:hAnsi="Calibri" w:cs="Calibri"/>
        </w:rPr>
        <w:t>In tale ultima ipotesi, dunque, la deduzione spettante va ridotta in base alla seguente proporzione</w:t>
      </w:r>
      <w:r w:rsidR="00D57617">
        <w:rPr>
          <w:rFonts w:ascii="Calibri" w:hAnsi="Calibri" w:cs="Calibri"/>
        </w:rPr>
        <w:t>:</w:t>
      </w:r>
    </w:p>
    <w:p w14:paraId="612BF768" w14:textId="77777777" w:rsidR="005E1C5B" w:rsidRPr="007068CC" w:rsidRDefault="005E1C5B" w:rsidP="00D36947">
      <w:pPr>
        <w:spacing w:before="160" w:after="0" w:line="120" w:lineRule="atLeast"/>
        <w:jc w:val="center"/>
        <w:rPr>
          <w:rFonts w:cstheme="minorHAnsi"/>
          <w:sz w:val="16"/>
          <w:szCs w:val="16"/>
        </w:rPr>
      </w:pPr>
      <w:r w:rsidRPr="007068CC">
        <w:rPr>
          <w:rFonts w:cstheme="minorHAnsi"/>
          <w:sz w:val="16"/>
          <w:szCs w:val="16"/>
        </w:rPr>
        <w:t>Ammontare dei ricavi e degli altri proventi relativi all’attività istituzionale (rilevanti ai fini IRAP)</w:t>
      </w:r>
    </w:p>
    <w:p w14:paraId="6EBF3E66" w14:textId="77777777" w:rsidR="005E1C5B" w:rsidRPr="007068CC" w:rsidRDefault="005E1C5B" w:rsidP="00D36947">
      <w:pPr>
        <w:spacing w:after="0" w:line="120" w:lineRule="exact"/>
        <w:jc w:val="center"/>
        <w:rPr>
          <w:rFonts w:cstheme="minorHAnsi"/>
          <w:sz w:val="16"/>
          <w:szCs w:val="16"/>
        </w:rPr>
      </w:pPr>
      <w:r w:rsidRPr="007068CC">
        <w:rPr>
          <w:rFonts w:cstheme="minorHAnsi"/>
          <w:sz w:val="16"/>
          <w:szCs w:val="16"/>
        </w:rPr>
        <w:t>_____________________________________________________________________________</w:t>
      </w:r>
    </w:p>
    <w:p w14:paraId="39C9C54B" w14:textId="77777777" w:rsidR="005E1C5B" w:rsidRPr="007068CC" w:rsidRDefault="005E1C5B" w:rsidP="005E1C5B">
      <w:pPr>
        <w:spacing w:after="120" w:line="240" w:lineRule="exact"/>
        <w:jc w:val="center"/>
        <w:rPr>
          <w:rFonts w:cstheme="minorHAnsi"/>
          <w:sz w:val="16"/>
          <w:szCs w:val="16"/>
        </w:rPr>
      </w:pPr>
      <w:r w:rsidRPr="007068CC">
        <w:rPr>
          <w:rFonts w:cstheme="minorHAnsi"/>
          <w:sz w:val="16"/>
          <w:szCs w:val="16"/>
        </w:rPr>
        <w:t>ammontare complessivo di tutti i ricavi e proventi</w:t>
      </w:r>
    </w:p>
    <w:p w14:paraId="28E08733" w14:textId="41E38C96" w:rsidR="005E1C5B" w:rsidRPr="005E1C5B" w:rsidRDefault="005E1C5B" w:rsidP="00D36947">
      <w:pPr>
        <w:spacing w:before="240" w:after="120" w:line="300" w:lineRule="auto"/>
        <w:jc w:val="both"/>
        <w:rPr>
          <w:rFonts w:ascii="Calibri" w:hAnsi="Calibri" w:cs="Calibri"/>
        </w:rPr>
      </w:pPr>
      <w:r w:rsidRPr="005E1C5B">
        <w:rPr>
          <w:rFonts w:ascii="Calibri" w:hAnsi="Calibri" w:cs="Calibri"/>
        </w:rPr>
        <w:t>Ai sensi di quanto disposto dal comma 4-</w:t>
      </w:r>
      <w:r w:rsidRPr="00F87C6D">
        <w:rPr>
          <w:rFonts w:ascii="Calibri" w:hAnsi="Calibri" w:cs="Calibri"/>
          <w:i/>
          <w:iCs/>
        </w:rPr>
        <w:t>septies</w:t>
      </w:r>
      <w:r w:rsidRPr="005E1C5B">
        <w:rPr>
          <w:rFonts w:ascii="Calibri" w:hAnsi="Calibri" w:cs="Calibri"/>
        </w:rPr>
        <w:t xml:space="preserve"> dell’articolo 11 del </w:t>
      </w:r>
      <w:r w:rsidR="00015C81">
        <w:rPr>
          <w:rFonts w:ascii="Calibri" w:hAnsi="Calibri" w:cs="Calibri"/>
        </w:rPr>
        <w:t>“Decreto IRAP”</w:t>
      </w:r>
      <w:r w:rsidRPr="005E1C5B">
        <w:rPr>
          <w:rFonts w:ascii="Calibri" w:hAnsi="Calibri" w:cs="Calibri"/>
        </w:rPr>
        <w:t>, la presente deduzione è alternativa alla fruizione delle deduzioni di cui all’articolo 11, comma 1, lettera a), n. 5) e comma 4-</w:t>
      </w:r>
      <w:r w:rsidRPr="00F87C6D">
        <w:rPr>
          <w:rFonts w:ascii="Calibri" w:hAnsi="Calibri" w:cs="Calibri"/>
          <w:i/>
          <w:iCs/>
        </w:rPr>
        <w:t>bis</w:t>
      </w:r>
      <w:r w:rsidRPr="005E1C5B">
        <w:rPr>
          <w:rFonts w:ascii="Calibri" w:hAnsi="Calibri" w:cs="Calibri"/>
        </w:rPr>
        <w:t xml:space="preserve">1. Restano, viceversa, in ogni caso applicabili (al ricorrerne dei requisiti) le deduzioni di cui al medesimo articolo 11, comma 1, </w:t>
      </w:r>
      <w:r w:rsidR="00350D5B">
        <w:rPr>
          <w:rFonts w:ascii="Calibri" w:hAnsi="Calibri" w:cs="Calibri"/>
        </w:rPr>
        <w:t>lettera</w:t>
      </w:r>
      <w:r w:rsidRPr="005E1C5B">
        <w:rPr>
          <w:rFonts w:ascii="Calibri" w:hAnsi="Calibri" w:cs="Calibri"/>
        </w:rPr>
        <w:t xml:space="preserve"> a), n. 1, comma 4-</w:t>
      </w:r>
      <w:r w:rsidRPr="00015C81">
        <w:rPr>
          <w:rFonts w:ascii="Calibri" w:hAnsi="Calibri" w:cs="Calibri"/>
          <w:i/>
          <w:iCs/>
        </w:rPr>
        <w:t>bis</w:t>
      </w:r>
      <w:r w:rsidRPr="005E1C5B">
        <w:rPr>
          <w:rFonts w:ascii="Calibri" w:hAnsi="Calibri" w:cs="Calibri"/>
        </w:rPr>
        <w:t xml:space="preserve"> e 4-</w:t>
      </w:r>
      <w:r w:rsidRPr="00015C81">
        <w:rPr>
          <w:rFonts w:ascii="Calibri" w:hAnsi="Calibri" w:cs="Calibri"/>
          <w:i/>
          <w:iCs/>
        </w:rPr>
        <w:t>quater</w:t>
      </w:r>
      <w:r w:rsidRPr="005E1C5B">
        <w:rPr>
          <w:rFonts w:ascii="Calibri" w:hAnsi="Calibri" w:cs="Calibri"/>
        </w:rPr>
        <w:t>.</w:t>
      </w:r>
    </w:p>
    <w:p w14:paraId="48AF7FC6" w14:textId="1DE64B10" w:rsidR="005E1C5B" w:rsidRPr="005E1C5B" w:rsidRDefault="00F87C6D" w:rsidP="005E1C5B">
      <w:pPr>
        <w:spacing w:after="120" w:line="300" w:lineRule="auto"/>
        <w:jc w:val="both"/>
        <w:rPr>
          <w:rFonts w:ascii="Calibri" w:hAnsi="Calibri" w:cs="Calibri"/>
        </w:rPr>
      </w:pPr>
      <w:r>
        <w:rPr>
          <w:rFonts w:ascii="Calibri" w:hAnsi="Calibri" w:cs="Calibri"/>
        </w:rPr>
        <w:t xml:space="preserve">Con riferimento a tale </w:t>
      </w:r>
      <w:r w:rsidR="005E1C5B" w:rsidRPr="005E1C5B">
        <w:rPr>
          <w:rFonts w:ascii="Calibri" w:hAnsi="Calibri" w:cs="Calibri"/>
        </w:rPr>
        <w:t>divieto di cumulo</w:t>
      </w:r>
      <w:r>
        <w:rPr>
          <w:rFonts w:ascii="Calibri" w:hAnsi="Calibri" w:cs="Calibri"/>
        </w:rPr>
        <w:t xml:space="preserve"> è utile sottolineare che il medesimo</w:t>
      </w:r>
      <w:r w:rsidR="005E1C5B" w:rsidRPr="005E1C5B">
        <w:rPr>
          <w:rFonts w:ascii="Calibri" w:hAnsi="Calibri" w:cs="Calibri"/>
        </w:rPr>
        <w:t xml:space="preserve"> opera con riferimento </w:t>
      </w:r>
      <w:r>
        <w:rPr>
          <w:rFonts w:ascii="Calibri" w:hAnsi="Calibri" w:cs="Calibri"/>
        </w:rPr>
        <w:t>a ciascun</w:t>
      </w:r>
      <w:r w:rsidR="005E1C5B" w:rsidRPr="005E1C5B">
        <w:rPr>
          <w:rFonts w:ascii="Calibri" w:hAnsi="Calibri" w:cs="Calibri"/>
        </w:rPr>
        <w:t xml:space="preserve"> dipendente. Il criterio dell’alternatività, quindi, vieta di cumulare in relazione allo stesso dipendente le </w:t>
      </w:r>
      <w:r>
        <w:rPr>
          <w:rFonts w:ascii="Calibri" w:hAnsi="Calibri" w:cs="Calibri"/>
        </w:rPr>
        <w:t>diverse</w:t>
      </w:r>
      <w:r w:rsidR="005E1C5B" w:rsidRPr="005E1C5B">
        <w:rPr>
          <w:rFonts w:ascii="Calibri" w:hAnsi="Calibri" w:cs="Calibri"/>
        </w:rPr>
        <w:t xml:space="preserve"> deduzioni, senza per questo impedire scelte differenziate per ciascuno dei </w:t>
      </w:r>
      <w:r w:rsidR="005E1C5B" w:rsidRPr="005E1C5B">
        <w:rPr>
          <w:rFonts w:ascii="Calibri" w:hAnsi="Calibri" w:cs="Calibri"/>
        </w:rPr>
        <w:lastRenderedPageBreak/>
        <w:t>dipendenti. Di conseguenza, per massimizzare il vantaggio fiscale è necessario confrontare</w:t>
      </w:r>
      <w:r>
        <w:rPr>
          <w:rFonts w:ascii="Calibri" w:hAnsi="Calibri" w:cs="Calibri"/>
        </w:rPr>
        <w:t>, sotto il profilo strettamente quantitativo ed</w:t>
      </w:r>
      <w:r w:rsidR="005E1C5B" w:rsidRPr="005E1C5B">
        <w:rPr>
          <w:rFonts w:ascii="Calibri" w:hAnsi="Calibri" w:cs="Calibri"/>
        </w:rPr>
        <w:t xml:space="preserve"> in relazione a ciascun dipendente, il beneficio </w:t>
      </w:r>
      <w:r>
        <w:rPr>
          <w:rFonts w:ascii="Calibri" w:hAnsi="Calibri" w:cs="Calibri"/>
        </w:rPr>
        <w:t xml:space="preserve">fiscale </w:t>
      </w:r>
      <w:r w:rsidR="005E1C5B" w:rsidRPr="005E1C5B">
        <w:rPr>
          <w:rFonts w:ascii="Calibri" w:hAnsi="Calibri" w:cs="Calibri"/>
        </w:rPr>
        <w:t xml:space="preserve">ottenibile applicando le </w:t>
      </w:r>
      <w:r>
        <w:rPr>
          <w:rFonts w:ascii="Calibri" w:hAnsi="Calibri" w:cs="Calibri"/>
        </w:rPr>
        <w:t xml:space="preserve">singole </w:t>
      </w:r>
      <w:r w:rsidR="005E1C5B" w:rsidRPr="005E1C5B">
        <w:rPr>
          <w:rFonts w:ascii="Calibri" w:hAnsi="Calibri" w:cs="Calibri"/>
        </w:rPr>
        <w:t>deduzioni fra loro alternative</w:t>
      </w:r>
      <w:r>
        <w:rPr>
          <w:rStyle w:val="Rimandonotaapidipagina"/>
          <w:rFonts w:ascii="Calibri" w:hAnsi="Calibri" w:cs="Calibri"/>
        </w:rPr>
        <w:footnoteReference w:id="6"/>
      </w:r>
      <w:r w:rsidR="005E1C5B" w:rsidRPr="005E1C5B">
        <w:rPr>
          <w:rFonts w:ascii="Calibri" w:hAnsi="Calibri" w:cs="Calibri"/>
        </w:rPr>
        <w:t>.</w:t>
      </w:r>
    </w:p>
    <w:p w14:paraId="05FD25A7" w14:textId="595816E0" w:rsidR="005E1C5B" w:rsidRDefault="005E1C5B" w:rsidP="005E1C5B">
      <w:pPr>
        <w:spacing w:after="120" w:line="300" w:lineRule="auto"/>
        <w:jc w:val="both"/>
        <w:rPr>
          <w:rFonts w:ascii="Calibri" w:hAnsi="Calibri" w:cs="Calibri"/>
        </w:rPr>
      </w:pPr>
      <w:r w:rsidRPr="005E1C5B">
        <w:rPr>
          <w:rFonts w:ascii="Calibri" w:hAnsi="Calibri" w:cs="Calibri"/>
        </w:rPr>
        <w:t>Infine, il medesimo comma 4-</w:t>
      </w:r>
      <w:r w:rsidRPr="00F87C6D">
        <w:rPr>
          <w:rFonts w:ascii="Calibri" w:hAnsi="Calibri" w:cs="Calibri"/>
          <w:i/>
          <w:iCs/>
        </w:rPr>
        <w:t>septies</w:t>
      </w:r>
      <w:r w:rsidRPr="005E1C5B">
        <w:rPr>
          <w:rFonts w:ascii="Calibri" w:hAnsi="Calibri" w:cs="Calibri"/>
        </w:rPr>
        <w:t xml:space="preserve"> </w:t>
      </w:r>
      <w:r w:rsidR="00F87C6D">
        <w:rPr>
          <w:rFonts w:ascii="Calibri" w:hAnsi="Calibri" w:cs="Calibri"/>
        </w:rPr>
        <w:t xml:space="preserve">dell’articolo 11 del “Decreto IRAP” </w:t>
      </w:r>
      <w:r w:rsidRPr="005E1C5B">
        <w:rPr>
          <w:rFonts w:ascii="Calibri" w:hAnsi="Calibri" w:cs="Calibri"/>
        </w:rPr>
        <w:t>precisa che per ciascun dipendente l’ammontare della deduzione non può comunque eccedere il limite massimo rappresentato dalla retribuzione e dagli altri oneri e spese a carico del datore di lavoro. Il costo del lavoro rappresenta, pertanto, il limite massimo della deduzione fruibile.</w:t>
      </w:r>
    </w:p>
    <w:p w14:paraId="552E94FE" w14:textId="18601BF8" w:rsidR="00BD2A0C" w:rsidRPr="00157229" w:rsidRDefault="00AE06B8" w:rsidP="00BD2A0C">
      <w:pPr>
        <w:pStyle w:val="Titolo2"/>
        <w:numPr>
          <w:ilvl w:val="0"/>
          <w:numId w:val="13"/>
        </w:numPr>
      </w:pPr>
      <w:bookmarkStart w:id="8" w:name="_Toc56777654"/>
      <w:r>
        <w:t>Deduzione per i contributi assistenziali e previdenziali (a</w:t>
      </w:r>
      <w:r w:rsidR="00BD2A0C" w:rsidRPr="00BD2A0C">
        <w:t>rticolo 11, comma 1, lett. a), n. 4</w:t>
      </w:r>
      <w:r>
        <w:t xml:space="preserve"> del “Decreto IRAP</w:t>
      </w:r>
      <w:r w:rsidR="00EE6A6D">
        <w:t>”</w:t>
      </w:r>
      <w:r>
        <w:t>)</w:t>
      </w:r>
      <w:bookmarkEnd w:id="8"/>
    </w:p>
    <w:p w14:paraId="79100FBE" w14:textId="7A3552B9" w:rsidR="00BD2A0C" w:rsidRPr="00BD2A0C" w:rsidRDefault="00BD2A0C" w:rsidP="00BD2A0C">
      <w:pPr>
        <w:spacing w:after="120" w:line="300" w:lineRule="auto"/>
        <w:jc w:val="both"/>
        <w:rPr>
          <w:rFonts w:ascii="Calibri" w:hAnsi="Calibri" w:cs="Calibri"/>
        </w:rPr>
      </w:pPr>
      <w:r w:rsidRPr="00BD2A0C">
        <w:rPr>
          <w:rFonts w:ascii="Calibri" w:hAnsi="Calibri" w:cs="Calibri"/>
        </w:rPr>
        <w:t>La disposizione ammette in deduzione dalla base imponibile IRAP un importo corrispondente ai contributi assistenziali e previdenziali relativi ai lavoratori dipendenti a tempo indeterminato.</w:t>
      </w:r>
      <w:r w:rsidR="00B156E8">
        <w:rPr>
          <w:rFonts w:ascii="Calibri" w:hAnsi="Calibri" w:cs="Calibri"/>
        </w:rPr>
        <w:t xml:space="preserve"> </w:t>
      </w:r>
    </w:p>
    <w:p w14:paraId="7838D991" w14:textId="3B574D95" w:rsidR="00BD2A0C" w:rsidRPr="00BD2A0C" w:rsidRDefault="00C25939" w:rsidP="00BD2A0C">
      <w:pPr>
        <w:spacing w:after="120" w:line="300" w:lineRule="auto"/>
        <w:jc w:val="both"/>
        <w:rPr>
          <w:rFonts w:ascii="Calibri" w:hAnsi="Calibri" w:cs="Calibri"/>
        </w:rPr>
      </w:pPr>
      <w:r>
        <w:rPr>
          <w:rFonts w:ascii="Calibri" w:hAnsi="Calibri" w:cs="Calibri"/>
        </w:rPr>
        <w:t>R</w:t>
      </w:r>
      <w:r w:rsidR="00BD2A0C" w:rsidRPr="00BD2A0C">
        <w:rPr>
          <w:rFonts w:ascii="Calibri" w:hAnsi="Calibri" w:cs="Calibri"/>
        </w:rPr>
        <w:t>ientrano tra i contributi in esame</w:t>
      </w:r>
      <w:r>
        <w:rPr>
          <w:rFonts w:ascii="Calibri" w:hAnsi="Calibri" w:cs="Calibri"/>
        </w:rPr>
        <w:t xml:space="preserve"> tutti</w:t>
      </w:r>
      <w:r w:rsidR="00BD2A0C" w:rsidRPr="00BD2A0C">
        <w:rPr>
          <w:rFonts w:ascii="Calibri" w:hAnsi="Calibri" w:cs="Calibri"/>
        </w:rPr>
        <w:t xml:space="preserve"> gli oneri che rappresentano un costo a carico dell’ente e non a carico del lavoratore e questo anche se non sono contributi obbligatori per legge. Sono quindi deducibili anche i contributi versati dal datore di lavoro alle forme pensionistiche complementari di cui al D.lgs. 5 dicembre 2005, n.252 o a Casse, Fondi e Gestioni previste da contratti collettivi o da accordi o da regolamenti aziendali, al fine di erogare prestazioni integrative di assistenza o previdenza</w:t>
      </w:r>
      <w:r>
        <w:rPr>
          <w:rStyle w:val="Rimandonotaapidipagina"/>
          <w:rFonts w:ascii="Calibri" w:hAnsi="Calibri" w:cs="Calibri"/>
        </w:rPr>
        <w:footnoteReference w:id="7"/>
      </w:r>
      <w:r w:rsidR="00BD2A0C" w:rsidRPr="00BD2A0C">
        <w:rPr>
          <w:rFonts w:ascii="Calibri" w:hAnsi="Calibri" w:cs="Calibri"/>
        </w:rPr>
        <w:t xml:space="preserve">. </w:t>
      </w:r>
      <w:r w:rsidRPr="00BD2A0C">
        <w:rPr>
          <w:rFonts w:ascii="Calibri" w:hAnsi="Calibri" w:cs="Calibri"/>
        </w:rPr>
        <w:t>Detti oneri sono deducibili in base al criterio di imputazione temporale adottato dal soggetto che se ne avvale</w:t>
      </w:r>
      <w:r>
        <w:rPr>
          <w:rStyle w:val="Rimandonotaapidipagina"/>
          <w:rFonts w:ascii="Calibri" w:hAnsi="Calibri" w:cs="Calibri"/>
        </w:rPr>
        <w:footnoteReference w:id="8"/>
      </w:r>
      <w:r w:rsidRPr="00BD2A0C">
        <w:rPr>
          <w:rFonts w:ascii="Calibri" w:hAnsi="Calibri" w:cs="Calibri"/>
        </w:rPr>
        <w:t>.</w:t>
      </w:r>
      <w:r>
        <w:rPr>
          <w:rFonts w:ascii="Calibri" w:hAnsi="Calibri" w:cs="Calibri"/>
        </w:rPr>
        <w:t xml:space="preserve"> </w:t>
      </w:r>
      <w:r w:rsidR="00BD2A0C" w:rsidRPr="00BD2A0C">
        <w:rPr>
          <w:rFonts w:ascii="Calibri" w:hAnsi="Calibri" w:cs="Calibri"/>
        </w:rPr>
        <w:t>In ogni caso, non sono ammessi in deduzione i contributi corrisposti in relazione al personale dipendente impiegato all’estero.</w:t>
      </w:r>
    </w:p>
    <w:p w14:paraId="37FF7F18" w14:textId="01D6881B" w:rsidR="00BD2A0C" w:rsidRPr="00BD2A0C" w:rsidRDefault="00BD2A0C" w:rsidP="00BD2A0C">
      <w:pPr>
        <w:spacing w:after="120" w:line="300" w:lineRule="auto"/>
        <w:jc w:val="both"/>
        <w:rPr>
          <w:rFonts w:ascii="Calibri" w:hAnsi="Calibri" w:cs="Calibri"/>
        </w:rPr>
      </w:pPr>
      <w:r w:rsidRPr="00BD2A0C">
        <w:rPr>
          <w:rFonts w:ascii="Calibri" w:hAnsi="Calibri" w:cs="Calibri"/>
        </w:rPr>
        <w:t>La deduzione non può trovare applicazione con riferimento a rapporti di lavoro diversi da quelli di lavoro dipendente a tempo indeterminato quali, per esempio, le collaborazioni coordinate e continuative</w:t>
      </w:r>
      <w:r w:rsidR="00C25939">
        <w:rPr>
          <w:rStyle w:val="Rimandonotaapidipagina"/>
          <w:rFonts w:ascii="Calibri" w:hAnsi="Calibri" w:cs="Calibri"/>
        </w:rPr>
        <w:footnoteReference w:id="9"/>
      </w:r>
      <w:r w:rsidRPr="00BD2A0C">
        <w:rPr>
          <w:rFonts w:ascii="Calibri" w:hAnsi="Calibri" w:cs="Calibri"/>
        </w:rPr>
        <w:t>.</w:t>
      </w:r>
    </w:p>
    <w:p w14:paraId="613F3A91" w14:textId="65F5A152" w:rsidR="006804F6" w:rsidRDefault="00BD2A0C" w:rsidP="004C05EC">
      <w:pPr>
        <w:spacing w:after="120" w:line="300" w:lineRule="auto"/>
        <w:jc w:val="both"/>
        <w:rPr>
          <w:rFonts w:ascii="Calibri" w:hAnsi="Calibri" w:cs="Calibri"/>
        </w:rPr>
      </w:pPr>
      <w:r w:rsidRPr="00BD2A0C">
        <w:rPr>
          <w:rFonts w:ascii="Calibri" w:hAnsi="Calibri" w:cs="Calibri"/>
        </w:rPr>
        <w:t xml:space="preserve">L’ambito soggettivo di applicazione della deduzione in esame è il medesimo di quella di cui </w:t>
      </w:r>
      <w:r w:rsidR="00700596">
        <w:rPr>
          <w:rFonts w:ascii="Calibri" w:hAnsi="Calibri" w:cs="Calibri"/>
        </w:rPr>
        <w:t>alla deduzione forfettaria per ridurre il cuneo fiscale (</w:t>
      </w:r>
      <w:r w:rsidRPr="00BD2A0C">
        <w:rPr>
          <w:rFonts w:ascii="Calibri" w:hAnsi="Calibri" w:cs="Calibri"/>
        </w:rPr>
        <w:t xml:space="preserve">articolo 11, comma 1, </w:t>
      </w:r>
      <w:r w:rsidR="00350D5B">
        <w:rPr>
          <w:rFonts w:ascii="Calibri" w:hAnsi="Calibri" w:cs="Calibri"/>
        </w:rPr>
        <w:t>lettera</w:t>
      </w:r>
      <w:r w:rsidRPr="00BD2A0C">
        <w:rPr>
          <w:rFonts w:ascii="Calibri" w:hAnsi="Calibri" w:cs="Calibri"/>
        </w:rPr>
        <w:t xml:space="preserve"> a), n. 2 del </w:t>
      </w:r>
      <w:r w:rsidR="00015C81">
        <w:rPr>
          <w:rFonts w:ascii="Calibri" w:hAnsi="Calibri" w:cs="Calibri"/>
        </w:rPr>
        <w:t>“Decreto IRAP”</w:t>
      </w:r>
      <w:r w:rsidR="00700596">
        <w:rPr>
          <w:rStyle w:val="Rimandonotaapidipagina"/>
          <w:rFonts w:ascii="Calibri" w:hAnsi="Calibri" w:cs="Calibri"/>
        </w:rPr>
        <w:footnoteReference w:id="10"/>
      </w:r>
      <w:r w:rsidR="00700596">
        <w:rPr>
          <w:rFonts w:ascii="Calibri" w:hAnsi="Calibri" w:cs="Calibri"/>
        </w:rPr>
        <w:t>)</w:t>
      </w:r>
      <w:r w:rsidR="006804F6">
        <w:rPr>
          <w:rFonts w:ascii="Calibri" w:hAnsi="Calibri" w:cs="Calibri"/>
        </w:rPr>
        <w:t>; p</w:t>
      </w:r>
      <w:r w:rsidRPr="00BD2A0C">
        <w:rPr>
          <w:rFonts w:ascii="Calibri" w:hAnsi="Calibri" w:cs="Calibri"/>
        </w:rPr>
        <w:t>ertanto, anche la disposizione in esame trova applicazione nei confronti degli enti non commerciali.</w:t>
      </w:r>
      <w:r w:rsidR="006804F6">
        <w:rPr>
          <w:rFonts w:ascii="Calibri" w:hAnsi="Calibri" w:cs="Calibri"/>
        </w:rPr>
        <w:t xml:space="preserve"> </w:t>
      </w:r>
      <w:r w:rsidRPr="00BD2A0C">
        <w:rPr>
          <w:rFonts w:ascii="Calibri" w:hAnsi="Calibri" w:cs="Calibri"/>
        </w:rPr>
        <w:t xml:space="preserve">Con riferimento </w:t>
      </w:r>
      <w:r w:rsidR="006804F6">
        <w:rPr>
          <w:rFonts w:ascii="Calibri" w:hAnsi="Calibri" w:cs="Calibri"/>
        </w:rPr>
        <w:t>a questi ultimi</w:t>
      </w:r>
      <w:r w:rsidRPr="00BD2A0C">
        <w:rPr>
          <w:rFonts w:ascii="Calibri" w:hAnsi="Calibri" w:cs="Calibri"/>
        </w:rPr>
        <w:t>,</w:t>
      </w:r>
      <w:r w:rsidR="006804F6">
        <w:rPr>
          <w:rFonts w:ascii="Calibri" w:hAnsi="Calibri" w:cs="Calibri"/>
        </w:rPr>
        <w:t xml:space="preserve"> tuttavia,</w:t>
      </w:r>
      <w:r w:rsidRPr="00BD2A0C">
        <w:rPr>
          <w:rFonts w:ascii="Calibri" w:hAnsi="Calibri" w:cs="Calibri"/>
        </w:rPr>
        <w:t xml:space="preserve"> va osservato che, nonostante la misura in esame non sia espressamente indicata fra quelle richiamate dal comma 4-</w:t>
      </w:r>
      <w:r w:rsidRPr="00015C81">
        <w:rPr>
          <w:rFonts w:ascii="Calibri" w:hAnsi="Calibri" w:cs="Calibri"/>
          <w:i/>
          <w:iCs/>
        </w:rPr>
        <w:t>bis</w:t>
      </w:r>
      <w:r w:rsidRPr="00BD2A0C">
        <w:rPr>
          <w:rFonts w:ascii="Calibri" w:hAnsi="Calibri" w:cs="Calibri"/>
        </w:rPr>
        <w:t>.2 ultimo periodo</w:t>
      </w:r>
      <w:r w:rsidR="006804F6">
        <w:rPr>
          <w:rStyle w:val="Rimandonotaapidipagina"/>
          <w:rFonts w:ascii="Calibri" w:hAnsi="Calibri" w:cs="Calibri"/>
        </w:rPr>
        <w:footnoteReference w:id="11"/>
      </w:r>
      <w:r w:rsidRPr="00BD2A0C">
        <w:rPr>
          <w:rFonts w:ascii="Calibri" w:hAnsi="Calibri" w:cs="Calibri"/>
        </w:rPr>
        <w:t xml:space="preserve">, secondo i chiarimenti forniti dalla prassi amministrativa, la deduzione compete unicamente in relazione ai </w:t>
      </w:r>
      <w:r w:rsidRPr="00BD2A0C">
        <w:rPr>
          <w:rFonts w:ascii="Calibri" w:hAnsi="Calibri" w:cs="Calibri"/>
        </w:rPr>
        <w:lastRenderedPageBreak/>
        <w:t>dipendenti impiegati nell’attività commerciale eventualmente esercitata dall’ente in via non esclusiva o prevalente</w:t>
      </w:r>
      <w:r w:rsidR="006804F6">
        <w:rPr>
          <w:rStyle w:val="Rimandonotaapidipagina"/>
          <w:rFonts w:ascii="Calibri" w:hAnsi="Calibri" w:cs="Calibri"/>
        </w:rPr>
        <w:footnoteReference w:id="12"/>
      </w:r>
      <w:r w:rsidRPr="00BD2A0C">
        <w:rPr>
          <w:rFonts w:ascii="Calibri" w:hAnsi="Calibri" w:cs="Calibri"/>
        </w:rPr>
        <w:t>.</w:t>
      </w:r>
    </w:p>
    <w:p w14:paraId="4E07542B" w14:textId="77777777" w:rsidR="00D57617" w:rsidRDefault="006804F6" w:rsidP="00D36947">
      <w:pPr>
        <w:spacing w:after="240" w:line="300" w:lineRule="auto"/>
        <w:jc w:val="both"/>
        <w:rPr>
          <w:rFonts w:ascii="Calibri" w:hAnsi="Calibri" w:cs="Calibri"/>
        </w:rPr>
      </w:pPr>
      <w:r>
        <w:rPr>
          <w:rFonts w:ascii="Calibri" w:hAnsi="Calibri" w:cs="Calibri"/>
        </w:rPr>
        <w:t>Anche in questo caso, p</w:t>
      </w:r>
      <w:r w:rsidR="00BD2A0C" w:rsidRPr="00BD2A0C">
        <w:rPr>
          <w:rFonts w:ascii="Calibri" w:hAnsi="Calibri" w:cs="Calibri"/>
        </w:rPr>
        <w:t xml:space="preserve">er i lavoratori impiegati promiscuamente sia nell’attività istituzionale che in quella commerciale, l’importo della deduzione va ridotto dell’importo forfettariamente imputabile all’attività istituzionale, determinato in base al rapporto di cui all’articolo 10, comma 2, del </w:t>
      </w:r>
      <w:r w:rsidR="00015C81">
        <w:rPr>
          <w:rFonts w:ascii="Calibri" w:hAnsi="Calibri" w:cs="Calibri"/>
        </w:rPr>
        <w:t>“Decreto IRAP”</w:t>
      </w:r>
      <w:r w:rsidR="00BD2A0C" w:rsidRPr="00BD2A0C">
        <w:rPr>
          <w:rFonts w:ascii="Calibri" w:hAnsi="Calibri" w:cs="Calibri"/>
        </w:rPr>
        <w:t xml:space="preserve">. </w:t>
      </w:r>
      <w:r>
        <w:rPr>
          <w:rFonts w:ascii="Calibri" w:hAnsi="Calibri" w:cs="Calibri"/>
        </w:rPr>
        <w:t>Di conseguenza, i</w:t>
      </w:r>
      <w:r w:rsidR="00BD2A0C" w:rsidRPr="00BD2A0C">
        <w:rPr>
          <w:rFonts w:ascii="Calibri" w:hAnsi="Calibri" w:cs="Calibri"/>
        </w:rPr>
        <w:t>n tale ultima ipotesi, la deduzione spettante va ridotta in base alla seguente proporzione</w:t>
      </w:r>
      <w:r w:rsidR="00D57617">
        <w:rPr>
          <w:rFonts w:ascii="Calibri" w:hAnsi="Calibri" w:cs="Calibri"/>
        </w:rPr>
        <w:t>:</w:t>
      </w:r>
    </w:p>
    <w:p w14:paraId="2DDD1059" w14:textId="77777777" w:rsidR="00591E15" w:rsidRPr="004C05EC" w:rsidRDefault="00591E15" w:rsidP="00591E15">
      <w:pPr>
        <w:spacing w:after="0" w:line="120" w:lineRule="atLeast"/>
        <w:jc w:val="center"/>
        <w:rPr>
          <w:rFonts w:cstheme="minorHAnsi"/>
          <w:sz w:val="16"/>
          <w:szCs w:val="16"/>
        </w:rPr>
      </w:pPr>
      <w:r w:rsidRPr="004C05EC">
        <w:rPr>
          <w:rFonts w:cstheme="minorHAnsi"/>
          <w:sz w:val="16"/>
          <w:szCs w:val="16"/>
        </w:rPr>
        <w:t>Ammontare dei ricavi e degli altri proventi relativi all’attività istituzionale (rilevanti ai fini IRAP)</w:t>
      </w:r>
    </w:p>
    <w:p w14:paraId="14C8E0C7" w14:textId="77777777" w:rsidR="00591E15" w:rsidRPr="004C05EC" w:rsidRDefault="00591E15" w:rsidP="00D36947">
      <w:pPr>
        <w:spacing w:after="0" w:line="120" w:lineRule="exact"/>
        <w:jc w:val="center"/>
        <w:rPr>
          <w:rFonts w:cstheme="minorHAnsi"/>
          <w:sz w:val="16"/>
          <w:szCs w:val="16"/>
        </w:rPr>
      </w:pPr>
      <w:r w:rsidRPr="004C05EC">
        <w:rPr>
          <w:rFonts w:cstheme="minorHAnsi"/>
          <w:sz w:val="16"/>
          <w:szCs w:val="16"/>
        </w:rPr>
        <w:t>_____________________________________________________________________________</w:t>
      </w:r>
    </w:p>
    <w:p w14:paraId="7963FFD7" w14:textId="77777777" w:rsidR="00591E15" w:rsidRPr="006804F6" w:rsidRDefault="00591E15" w:rsidP="00591E15">
      <w:pPr>
        <w:spacing w:after="120" w:line="240" w:lineRule="exact"/>
        <w:jc w:val="center"/>
        <w:rPr>
          <w:rFonts w:cstheme="minorHAnsi"/>
        </w:rPr>
      </w:pPr>
      <w:r w:rsidRPr="004C05EC">
        <w:rPr>
          <w:rFonts w:cstheme="minorHAnsi"/>
          <w:sz w:val="16"/>
          <w:szCs w:val="16"/>
        </w:rPr>
        <w:t>ammontare complessivo di tutti i ricavi e proventi</w:t>
      </w:r>
    </w:p>
    <w:p w14:paraId="41A098CB" w14:textId="37476316" w:rsidR="00591E15" w:rsidRPr="00591E15" w:rsidRDefault="00591E15" w:rsidP="00D36947">
      <w:pPr>
        <w:spacing w:before="240" w:after="120" w:line="300" w:lineRule="auto"/>
        <w:jc w:val="both"/>
        <w:rPr>
          <w:rFonts w:ascii="Calibri" w:hAnsi="Calibri" w:cs="Calibri"/>
        </w:rPr>
      </w:pPr>
      <w:r w:rsidRPr="00591E15">
        <w:rPr>
          <w:rFonts w:ascii="Calibri" w:hAnsi="Calibri" w:cs="Calibri"/>
        </w:rPr>
        <w:t>Ai sensi di quanto disposto dal comma 4-</w:t>
      </w:r>
      <w:r w:rsidRPr="006804F6">
        <w:rPr>
          <w:rFonts w:ascii="Calibri" w:hAnsi="Calibri" w:cs="Calibri"/>
          <w:i/>
          <w:iCs/>
        </w:rPr>
        <w:t>septies</w:t>
      </w:r>
      <w:r w:rsidRPr="00591E15">
        <w:rPr>
          <w:rFonts w:ascii="Calibri" w:hAnsi="Calibri" w:cs="Calibri"/>
        </w:rPr>
        <w:t xml:space="preserve"> dell’articolo 11 del </w:t>
      </w:r>
      <w:r w:rsidR="00015C81">
        <w:rPr>
          <w:rFonts w:ascii="Calibri" w:hAnsi="Calibri" w:cs="Calibri"/>
        </w:rPr>
        <w:t>“Decreto IRAP”</w:t>
      </w:r>
      <w:r w:rsidRPr="00591E15">
        <w:rPr>
          <w:rFonts w:ascii="Calibri" w:hAnsi="Calibri" w:cs="Calibri"/>
        </w:rPr>
        <w:t>, la presente deduzione è alternativa alla fruizione delle deduzioni di cui all’articolo 11, comma 1, lettera a), n. 5) e comma 4-</w:t>
      </w:r>
      <w:r w:rsidRPr="00015C81">
        <w:rPr>
          <w:rFonts w:ascii="Calibri" w:hAnsi="Calibri" w:cs="Calibri"/>
          <w:i/>
          <w:iCs/>
        </w:rPr>
        <w:t>bis</w:t>
      </w:r>
      <w:r w:rsidRPr="00591E15">
        <w:rPr>
          <w:rFonts w:ascii="Calibri" w:hAnsi="Calibri" w:cs="Calibri"/>
        </w:rPr>
        <w:t xml:space="preserve">1. Restano, viceversa, in ogni caso applicabili (al ricorrerne dei </w:t>
      </w:r>
      <w:r w:rsidR="006804F6">
        <w:rPr>
          <w:rFonts w:ascii="Calibri" w:hAnsi="Calibri" w:cs="Calibri"/>
        </w:rPr>
        <w:t>relativi presupposti</w:t>
      </w:r>
      <w:r w:rsidRPr="00591E15">
        <w:rPr>
          <w:rFonts w:ascii="Calibri" w:hAnsi="Calibri" w:cs="Calibri"/>
        </w:rPr>
        <w:t xml:space="preserve">) le deduzioni di cui al medesimo articolo 11, comma 1, </w:t>
      </w:r>
      <w:r w:rsidR="00350D5B">
        <w:rPr>
          <w:rFonts w:ascii="Calibri" w:hAnsi="Calibri" w:cs="Calibri"/>
        </w:rPr>
        <w:t>lettera</w:t>
      </w:r>
      <w:r w:rsidRPr="00591E15">
        <w:rPr>
          <w:rFonts w:ascii="Calibri" w:hAnsi="Calibri" w:cs="Calibri"/>
        </w:rPr>
        <w:t xml:space="preserve"> a), n. 1, comma 4-</w:t>
      </w:r>
      <w:r w:rsidRPr="00015C81">
        <w:rPr>
          <w:rFonts w:ascii="Calibri" w:hAnsi="Calibri" w:cs="Calibri"/>
          <w:i/>
          <w:iCs/>
        </w:rPr>
        <w:t>bis</w:t>
      </w:r>
      <w:r w:rsidRPr="00591E15">
        <w:rPr>
          <w:rFonts w:ascii="Calibri" w:hAnsi="Calibri" w:cs="Calibri"/>
        </w:rPr>
        <w:t xml:space="preserve"> e 4-</w:t>
      </w:r>
      <w:r w:rsidRPr="00015C81">
        <w:rPr>
          <w:rFonts w:ascii="Calibri" w:hAnsi="Calibri" w:cs="Calibri"/>
          <w:i/>
          <w:iCs/>
        </w:rPr>
        <w:t>quater</w:t>
      </w:r>
      <w:r w:rsidR="006804F6">
        <w:rPr>
          <w:rFonts w:ascii="Calibri" w:hAnsi="Calibri" w:cs="Calibri"/>
          <w:i/>
          <w:iCs/>
        </w:rPr>
        <w:t xml:space="preserve"> </w:t>
      </w:r>
      <w:r w:rsidR="006804F6">
        <w:rPr>
          <w:rFonts w:ascii="Calibri" w:hAnsi="Calibri" w:cs="Calibri"/>
        </w:rPr>
        <w:t>del “Decreto IRAP”</w:t>
      </w:r>
      <w:r w:rsidRPr="00591E15">
        <w:rPr>
          <w:rFonts w:ascii="Calibri" w:hAnsi="Calibri" w:cs="Calibri"/>
        </w:rPr>
        <w:t>.</w:t>
      </w:r>
    </w:p>
    <w:p w14:paraId="49127771" w14:textId="7B11D3E1" w:rsidR="00591E15" w:rsidRPr="00591E15" w:rsidRDefault="006804F6" w:rsidP="00591E15">
      <w:pPr>
        <w:spacing w:after="120" w:line="300" w:lineRule="auto"/>
        <w:jc w:val="both"/>
        <w:rPr>
          <w:rFonts w:ascii="Calibri" w:hAnsi="Calibri" w:cs="Calibri"/>
        </w:rPr>
      </w:pPr>
      <w:r>
        <w:rPr>
          <w:rFonts w:ascii="Calibri" w:hAnsi="Calibri" w:cs="Calibri"/>
        </w:rPr>
        <w:t>Con riferimento al cennato meccanismo di alternatività, è utile ricordare che i</w:t>
      </w:r>
      <w:r w:rsidR="00591E15" w:rsidRPr="00591E15">
        <w:rPr>
          <w:rFonts w:ascii="Calibri" w:hAnsi="Calibri" w:cs="Calibri"/>
        </w:rPr>
        <w:t xml:space="preserve">l divieto di cumulo opera con riferimento </w:t>
      </w:r>
      <w:r>
        <w:rPr>
          <w:rFonts w:ascii="Calibri" w:hAnsi="Calibri" w:cs="Calibri"/>
        </w:rPr>
        <w:t>a ciascun</w:t>
      </w:r>
      <w:r w:rsidR="00591E15" w:rsidRPr="00591E15">
        <w:rPr>
          <w:rFonts w:ascii="Calibri" w:hAnsi="Calibri" w:cs="Calibri"/>
        </w:rPr>
        <w:t xml:space="preserve"> dipendente. Il criterio dell’alternatività, quindi, vieta di cumulare in relazione allo stesso dipendente </w:t>
      </w:r>
      <w:r>
        <w:rPr>
          <w:rFonts w:ascii="Calibri" w:hAnsi="Calibri" w:cs="Calibri"/>
        </w:rPr>
        <w:t>dette</w:t>
      </w:r>
      <w:r w:rsidR="00591E15" w:rsidRPr="00591E15">
        <w:rPr>
          <w:rFonts w:ascii="Calibri" w:hAnsi="Calibri" w:cs="Calibri"/>
        </w:rPr>
        <w:t xml:space="preserve"> deduzioni, senza per questo impedire scelte differenziate per </w:t>
      </w:r>
      <w:r>
        <w:rPr>
          <w:rFonts w:ascii="Calibri" w:hAnsi="Calibri" w:cs="Calibri"/>
        </w:rPr>
        <w:t>singolo</w:t>
      </w:r>
      <w:r w:rsidR="00591E15" w:rsidRPr="00591E15">
        <w:rPr>
          <w:rFonts w:ascii="Calibri" w:hAnsi="Calibri" w:cs="Calibri"/>
        </w:rPr>
        <w:t xml:space="preserve"> dipendent</w:t>
      </w:r>
      <w:r>
        <w:rPr>
          <w:rFonts w:ascii="Calibri" w:hAnsi="Calibri" w:cs="Calibri"/>
        </w:rPr>
        <w:t>e</w:t>
      </w:r>
      <w:r w:rsidR="00591E15" w:rsidRPr="00591E15">
        <w:rPr>
          <w:rFonts w:ascii="Calibri" w:hAnsi="Calibri" w:cs="Calibri"/>
        </w:rPr>
        <w:t>. Di conseguenza, per massimizzare il vantaggio fiscale è necessario confrontare, in relazione a ciascun dipendente, il beneficio ottenibile applicando le diverse deduzioni fra loro alternative</w:t>
      </w:r>
      <w:r>
        <w:rPr>
          <w:rStyle w:val="Rimandonotaapidipagina"/>
          <w:rFonts w:ascii="Calibri" w:hAnsi="Calibri" w:cs="Calibri"/>
        </w:rPr>
        <w:footnoteReference w:id="13"/>
      </w:r>
      <w:r w:rsidR="00591E15" w:rsidRPr="00591E15">
        <w:rPr>
          <w:rFonts w:ascii="Calibri" w:hAnsi="Calibri" w:cs="Calibri"/>
        </w:rPr>
        <w:t>.</w:t>
      </w:r>
    </w:p>
    <w:p w14:paraId="647CFFC4" w14:textId="05CE9237" w:rsidR="00591E15" w:rsidRPr="00591E15" w:rsidRDefault="00591E15" w:rsidP="00591E15">
      <w:pPr>
        <w:spacing w:after="120" w:line="300" w:lineRule="auto"/>
        <w:jc w:val="both"/>
        <w:rPr>
          <w:rFonts w:ascii="Calibri" w:hAnsi="Calibri" w:cs="Calibri"/>
        </w:rPr>
      </w:pPr>
      <w:r w:rsidRPr="00591E15">
        <w:rPr>
          <w:rFonts w:ascii="Calibri" w:hAnsi="Calibri" w:cs="Calibri"/>
        </w:rPr>
        <w:t>Infine, il medesimo comma 4-</w:t>
      </w:r>
      <w:r w:rsidRPr="00015C81">
        <w:rPr>
          <w:rFonts w:ascii="Calibri" w:hAnsi="Calibri" w:cs="Calibri"/>
          <w:i/>
          <w:iCs/>
        </w:rPr>
        <w:t>septies</w:t>
      </w:r>
      <w:r w:rsidRPr="00591E15">
        <w:rPr>
          <w:rFonts w:ascii="Calibri" w:hAnsi="Calibri" w:cs="Calibri"/>
        </w:rPr>
        <w:t xml:space="preserve"> </w:t>
      </w:r>
      <w:r w:rsidR="006804F6">
        <w:rPr>
          <w:rFonts w:ascii="Calibri" w:hAnsi="Calibri" w:cs="Calibri"/>
        </w:rPr>
        <w:t xml:space="preserve">dell’articolo 11 del “Decreto IRAP” </w:t>
      </w:r>
      <w:r w:rsidRPr="00591E15">
        <w:rPr>
          <w:rFonts w:ascii="Calibri" w:hAnsi="Calibri" w:cs="Calibri"/>
        </w:rPr>
        <w:t>precisa</w:t>
      </w:r>
      <w:r w:rsidR="006804F6">
        <w:rPr>
          <w:rFonts w:ascii="Calibri" w:hAnsi="Calibri" w:cs="Calibri"/>
        </w:rPr>
        <w:t>, altresì,</w:t>
      </w:r>
      <w:r w:rsidRPr="00591E15">
        <w:rPr>
          <w:rFonts w:ascii="Calibri" w:hAnsi="Calibri" w:cs="Calibri"/>
        </w:rPr>
        <w:t xml:space="preserve"> che per ciascun dipendente l’ammontare della deduzione non può comunque eccedere il limite massimo rappresentato dalla retribuzione e dagli altri oneri e spese a carico del datore di lavoro. Il costo del lavoro rappresenta, pertanto, il limite massimo della deduzione fruibile.</w:t>
      </w:r>
    </w:p>
    <w:p w14:paraId="4B3F42FB" w14:textId="077ADB60" w:rsidR="004C4CC6" w:rsidRPr="00157229" w:rsidRDefault="003D3B1E" w:rsidP="004C4CC6">
      <w:pPr>
        <w:pStyle w:val="Titolo2"/>
        <w:numPr>
          <w:ilvl w:val="0"/>
          <w:numId w:val="13"/>
        </w:numPr>
      </w:pPr>
      <w:bookmarkStart w:id="9" w:name="_Toc56777655"/>
      <w:r>
        <w:t>Deduzione per apprendisti, disabili e personale addetto alla ricerca e sviluppo (a</w:t>
      </w:r>
      <w:r w:rsidR="004C4CC6" w:rsidRPr="00BD2A0C">
        <w:t xml:space="preserve">rticolo 11, comma 1, lett. a), n. </w:t>
      </w:r>
      <w:r w:rsidR="004C4CC6">
        <w:t>5</w:t>
      </w:r>
      <w:r>
        <w:t xml:space="preserve"> del “Decreto IRAP)</w:t>
      </w:r>
      <w:bookmarkEnd w:id="9"/>
    </w:p>
    <w:p w14:paraId="051251E8" w14:textId="4D05308D" w:rsidR="004C4CC6" w:rsidRPr="004C4CC6" w:rsidRDefault="004C4CC6" w:rsidP="004C4CC6">
      <w:pPr>
        <w:spacing w:after="120" w:line="300" w:lineRule="auto"/>
        <w:jc w:val="both"/>
        <w:rPr>
          <w:rFonts w:ascii="Calibri" w:hAnsi="Calibri" w:cs="Calibri"/>
        </w:rPr>
      </w:pPr>
      <w:r w:rsidRPr="004C4CC6">
        <w:rPr>
          <w:rFonts w:ascii="Calibri" w:hAnsi="Calibri" w:cs="Calibri"/>
        </w:rPr>
        <w:t>La disposizione ammette in deduzione dalla base imponibile IRAP le spese relative agli apprendisti, ai disabili e le spese per il personale assunto con contratti di formazione e lavoro, nonché, per i soli soggetti cui si applicano le</w:t>
      </w:r>
      <w:r w:rsidR="00C22A75">
        <w:rPr>
          <w:rFonts w:ascii="Calibri" w:hAnsi="Calibri" w:cs="Calibri"/>
        </w:rPr>
        <w:t xml:space="preserve"> </w:t>
      </w:r>
      <w:r w:rsidRPr="004C4CC6">
        <w:rPr>
          <w:rFonts w:ascii="Calibri" w:hAnsi="Calibri" w:cs="Calibri"/>
        </w:rPr>
        <w:t xml:space="preserve">deduzioni </w:t>
      </w:r>
      <w:r w:rsidR="00C22A75">
        <w:rPr>
          <w:rFonts w:ascii="Calibri" w:hAnsi="Calibri" w:cs="Calibri"/>
        </w:rPr>
        <w:t>per la riduzione del cuneo fiscale e per i contributi assistenziali e previdenziali (</w:t>
      </w:r>
      <w:r w:rsidRPr="004C4CC6">
        <w:rPr>
          <w:rFonts w:ascii="Calibri" w:hAnsi="Calibri" w:cs="Calibri"/>
        </w:rPr>
        <w:t>di cui al</w:t>
      </w:r>
      <w:r w:rsidR="00C22A75">
        <w:rPr>
          <w:rFonts w:ascii="Calibri" w:hAnsi="Calibri" w:cs="Calibri"/>
        </w:rPr>
        <w:t>l’</w:t>
      </w:r>
      <w:r w:rsidRPr="004C4CC6">
        <w:rPr>
          <w:rFonts w:ascii="Calibri" w:hAnsi="Calibri" w:cs="Calibri"/>
        </w:rPr>
        <w:t xml:space="preserve">articolo 11, comma 1, </w:t>
      </w:r>
      <w:r w:rsidR="00350D5B">
        <w:rPr>
          <w:rFonts w:ascii="Calibri" w:hAnsi="Calibri" w:cs="Calibri"/>
        </w:rPr>
        <w:t>lettera</w:t>
      </w:r>
      <w:r w:rsidRPr="004C4CC6">
        <w:rPr>
          <w:rFonts w:ascii="Calibri" w:hAnsi="Calibri" w:cs="Calibri"/>
        </w:rPr>
        <w:t xml:space="preserve"> a), nn. 2) e 4)</w:t>
      </w:r>
      <w:r w:rsidR="00C22A75">
        <w:rPr>
          <w:rFonts w:ascii="Calibri" w:hAnsi="Calibri" w:cs="Calibri"/>
        </w:rPr>
        <w:t>, del “Decreto IRAP”</w:t>
      </w:r>
      <w:r w:rsidR="00101FDB">
        <w:rPr>
          <w:rStyle w:val="Rimandonotaapidipagina"/>
          <w:rFonts w:ascii="Calibri" w:hAnsi="Calibri" w:cs="Calibri"/>
        </w:rPr>
        <w:footnoteReference w:id="14"/>
      </w:r>
      <w:r w:rsidR="00C22A75">
        <w:rPr>
          <w:rFonts w:ascii="Calibri" w:hAnsi="Calibri" w:cs="Calibri"/>
        </w:rPr>
        <w:t>),</w:t>
      </w:r>
      <w:r w:rsidRPr="004C4CC6">
        <w:rPr>
          <w:rFonts w:ascii="Calibri" w:hAnsi="Calibri" w:cs="Calibri"/>
        </w:rPr>
        <w:t xml:space="preserve"> i costi sostenuti per il personale addetto alla ricerca e sviluppo, ivi compresi quelli per il predetto personale </w:t>
      </w:r>
      <w:r w:rsidRPr="004C4CC6">
        <w:rPr>
          <w:rFonts w:ascii="Calibri" w:hAnsi="Calibri" w:cs="Calibri"/>
        </w:rPr>
        <w:lastRenderedPageBreak/>
        <w:t>sostenuti da consorzi tra imprese costituiti per la realizzazione di programmi comuni di ricerca e sviluppo.</w:t>
      </w:r>
    </w:p>
    <w:p w14:paraId="2ADCE429" w14:textId="77777777" w:rsidR="004C4CC6" w:rsidRPr="004C4CC6" w:rsidRDefault="004C4CC6" w:rsidP="004C4CC6">
      <w:pPr>
        <w:spacing w:after="120" w:line="300" w:lineRule="auto"/>
        <w:jc w:val="both"/>
        <w:rPr>
          <w:rFonts w:ascii="Calibri" w:hAnsi="Calibri" w:cs="Calibri"/>
        </w:rPr>
      </w:pPr>
      <w:r w:rsidRPr="004C4CC6">
        <w:rPr>
          <w:rFonts w:ascii="Calibri" w:hAnsi="Calibri" w:cs="Calibri"/>
        </w:rPr>
        <w:t>La deduzione relativa ai costi del personale addetto alla ricerca e sviluppo merita alcuni ulteriori approfondimenti, atti a delinearne con precisione l’ambito di applicazione sia sotto il profilo soggettivo, sia oggettivo.</w:t>
      </w:r>
    </w:p>
    <w:p w14:paraId="7729B92E" w14:textId="206E0801" w:rsidR="004C4CC6" w:rsidRPr="004C4CC6" w:rsidRDefault="004C4CC6" w:rsidP="004C4CC6">
      <w:pPr>
        <w:spacing w:after="120" w:line="300" w:lineRule="auto"/>
        <w:jc w:val="both"/>
        <w:rPr>
          <w:rFonts w:ascii="Calibri" w:hAnsi="Calibri" w:cs="Calibri"/>
        </w:rPr>
      </w:pPr>
      <w:r w:rsidRPr="004C4CC6">
        <w:rPr>
          <w:rFonts w:ascii="Calibri" w:hAnsi="Calibri" w:cs="Calibri"/>
        </w:rPr>
        <w:t xml:space="preserve">In proposito, va in primo luogo </w:t>
      </w:r>
      <w:r w:rsidR="00C22A75">
        <w:rPr>
          <w:rFonts w:ascii="Calibri" w:hAnsi="Calibri" w:cs="Calibri"/>
        </w:rPr>
        <w:t>ribadito</w:t>
      </w:r>
      <w:r w:rsidRPr="004C4CC6">
        <w:rPr>
          <w:rFonts w:ascii="Calibri" w:hAnsi="Calibri" w:cs="Calibri"/>
        </w:rPr>
        <w:t xml:space="preserve"> che possono usufruire di detta deduzione i medesimi soggetti rientranti nell’ambito di applicazione delle deduzioni di cui all’articolo 11, comma 1, </w:t>
      </w:r>
      <w:r w:rsidR="00350D5B">
        <w:rPr>
          <w:rFonts w:ascii="Calibri" w:hAnsi="Calibri" w:cs="Calibri"/>
        </w:rPr>
        <w:t>lettera</w:t>
      </w:r>
      <w:r w:rsidRPr="004C4CC6">
        <w:rPr>
          <w:rFonts w:ascii="Calibri" w:hAnsi="Calibri" w:cs="Calibri"/>
        </w:rPr>
        <w:t xml:space="preserve"> a), nn. 2 e 4</w:t>
      </w:r>
      <w:r w:rsidR="00C22A75">
        <w:rPr>
          <w:rFonts w:ascii="Calibri" w:hAnsi="Calibri" w:cs="Calibri"/>
        </w:rPr>
        <w:t xml:space="preserve"> del “Decreto IRAP”</w:t>
      </w:r>
      <w:r w:rsidRPr="004C4CC6">
        <w:rPr>
          <w:rFonts w:ascii="Calibri" w:hAnsi="Calibri" w:cs="Calibri"/>
        </w:rPr>
        <w:t xml:space="preserve">. Pertanto, la misura è applicabile anche dagli </w:t>
      </w:r>
      <w:r w:rsidR="00C55FA5">
        <w:rPr>
          <w:rFonts w:ascii="Calibri" w:hAnsi="Calibri" w:cs="Calibri"/>
        </w:rPr>
        <w:t>e</w:t>
      </w:r>
      <w:r w:rsidRPr="004C4CC6">
        <w:rPr>
          <w:rFonts w:ascii="Calibri" w:hAnsi="Calibri" w:cs="Calibri"/>
        </w:rPr>
        <w:t xml:space="preserve">nti non commerciali. Tuttavia, a differenza delle deduzioni di cui ai </w:t>
      </w:r>
      <w:r w:rsidR="00C22A75">
        <w:rPr>
          <w:rFonts w:ascii="Calibri" w:hAnsi="Calibri" w:cs="Calibri"/>
        </w:rPr>
        <w:t>cennati</w:t>
      </w:r>
      <w:r w:rsidRPr="004C4CC6">
        <w:rPr>
          <w:rFonts w:ascii="Calibri" w:hAnsi="Calibri" w:cs="Calibri"/>
        </w:rPr>
        <w:t xml:space="preserve"> nn. 2 e 4, l’agevolazione in esame trova applicazione sia in relazione all’attività istituzionale che all’attività commerciale. Rilevano, quindi, ai fini del computo della deduzione anche i costi relativi al personale addetto alla ricerca e sviluppo nell’ambito dello svolgimento di attività non commerciale.</w:t>
      </w:r>
    </w:p>
    <w:p w14:paraId="16B21412" w14:textId="29D10204" w:rsidR="004C4CC6" w:rsidRPr="004C4CC6" w:rsidRDefault="004C4CC6" w:rsidP="004C4CC6">
      <w:pPr>
        <w:spacing w:after="120" w:line="300" w:lineRule="auto"/>
        <w:jc w:val="both"/>
        <w:rPr>
          <w:rFonts w:ascii="Calibri" w:hAnsi="Calibri" w:cs="Calibri"/>
        </w:rPr>
      </w:pPr>
      <w:r w:rsidRPr="004C4CC6">
        <w:rPr>
          <w:rFonts w:ascii="Calibri" w:hAnsi="Calibri" w:cs="Calibri"/>
        </w:rPr>
        <w:t xml:space="preserve">La misura in esame opera a condizione che </w:t>
      </w:r>
      <w:r w:rsidR="005240D9">
        <w:rPr>
          <w:rFonts w:ascii="Calibri" w:hAnsi="Calibri" w:cs="Calibri"/>
        </w:rPr>
        <w:t>sia rilasciata un</w:t>
      </w:r>
      <w:r w:rsidRPr="004C4CC6">
        <w:rPr>
          <w:rFonts w:ascii="Calibri" w:hAnsi="Calibri" w:cs="Calibri"/>
        </w:rPr>
        <w:t>’attestazione di effettività dei costi dal presidente del collegio sindacale ovvero, in mancanza, da un revisore dei conti o da un professionista iscritto negli albi dei revisori dei conti, dei dottori commercialisti, dei ragionieri e periti commerciali o dei consulenti del lavoro, nelle forme previste dall’articolo 13, comma 2, del decreto-legge 28 marzo 1997, n. 79, convertito, con modificazioni, dalla legge 28 maggio 1997, n. 140, ovvero dal responsabile del centro di assistenza fiscale.</w:t>
      </w:r>
    </w:p>
    <w:p w14:paraId="48B8C1D7" w14:textId="1F8B0CD2" w:rsidR="004C4CC6" w:rsidRPr="004C4CC6" w:rsidRDefault="004C4CC6" w:rsidP="004C4CC6">
      <w:pPr>
        <w:spacing w:after="120" w:line="300" w:lineRule="auto"/>
        <w:jc w:val="both"/>
        <w:rPr>
          <w:rFonts w:ascii="Calibri" w:hAnsi="Calibri" w:cs="Calibri"/>
        </w:rPr>
      </w:pPr>
      <w:r w:rsidRPr="004C4CC6">
        <w:rPr>
          <w:rFonts w:ascii="Calibri" w:hAnsi="Calibri" w:cs="Calibri"/>
        </w:rPr>
        <w:t xml:space="preserve">La deduzione può essere operata sia con riferimento ai costi sostenuti per il personale addetto alla ricerca di base (intesa come l’insieme delle attività di studio, esperimenti, indagini e ricerche che non hanno una specifica finalità ma rivestono un’utilità generica per l’impresa), sia con riferimento ai costi sostenuti per il personale addetto alla ricerca applicata </w:t>
      </w:r>
      <w:r w:rsidR="005240D9">
        <w:rPr>
          <w:rFonts w:ascii="Calibri" w:hAnsi="Calibri" w:cs="Calibri"/>
        </w:rPr>
        <w:t>(</w:t>
      </w:r>
      <w:r w:rsidRPr="004C4CC6">
        <w:rPr>
          <w:rFonts w:ascii="Calibri" w:hAnsi="Calibri" w:cs="Calibri"/>
        </w:rPr>
        <w:t>nel qual caso, invece, le predette attività sono finalizzate alla realizzazione di uno specifico progetto)</w:t>
      </w:r>
      <w:r w:rsidR="005240D9">
        <w:rPr>
          <w:rStyle w:val="Rimandonotaapidipagina"/>
          <w:rFonts w:ascii="Calibri" w:hAnsi="Calibri" w:cs="Calibri"/>
        </w:rPr>
        <w:footnoteReference w:id="15"/>
      </w:r>
      <w:r w:rsidRPr="004C4CC6">
        <w:rPr>
          <w:rFonts w:ascii="Calibri" w:hAnsi="Calibri" w:cs="Calibri"/>
        </w:rPr>
        <w:t>.</w:t>
      </w:r>
    </w:p>
    <w:p w14:paraId="72F143FF" w14:textId="011AE9A0" w:rsidR="004C4CC6" w:rsidRPr="004C4CC6" w:rsidRDefault="004C4CC6" w:rsidP="004C4CC6">
      <w:pPr>
        <w:spacing w:after="120" w:line="300" w:lineRule="auto"/>
        <w:jc w:val="both"/>
        <w:rPr>
          <w:rFonts w:ascii="Calibri" w:hAnsi="Calibri" w:cs="Calibri"/>
        </w:rPr>
      </w:pPr>
      <w:r w:rsidRPr="004C4CC6">
        <w:rPr>
          <w:rFonts w:ascii="Calibri" w:hAnsi="Calibri" w:cs="Calibri"/>
        </w:rPr>
        <w:t xml:space="preserve">Con riferimento alla tipologia contrattuale che deve intercorrere fra il datore di lavoro e il lavoratore per poter fruire dell’agevolazione, la risoluzione 4 maggio 2006, n. 57/E ha chiarito che la deduzione spetta anche in relazione ai lavoratori che operano sulla base di rapporti di collaborazione. Infatti, a differenza di quanto avviene per le deduzioni di cui all’articolo 11, comma 1, </w:t>
      </w:r>
      <w:r w:rsidR="00350D5B">
        <w:rPr>
          <w:rFonts w:ascii="Calibri" w:hAnsi="Calibri" w:cs="Calibri"/>
        </w:rPr>
        <w:t>lettera</w:t>
      </w:r>
      <w:r w:rsidRPr="004C4CC6">
        <w:rPr>
          <w:rFonts w:ascii="Calibri" w:hAnsi="Calibri" w:cs="Calibri"/>
        </w:rPr>
        <w:t xml:space="preserve"> a) nn. 2 e 4)</w:t>
      </w:r>
      <w:r w:rsidR="00015C81">
        <w:rPr>
          <w:rFonts w:ascii="Calibri" w:hAnsi="Calibri" w:cs="Calibri"/>
        </w:rPr>
        <w:t xml:space="preserve"> del “Decreto IRAP”</w:t>
      </w:r>
      <w:r w:rsidRPr="004C4CC6">
        <w:rPr>
          <w:rFonts w:ascii="Calibri" w:hAnsi="Calibri" w:cs="Calibri"/>
        </w:rPr>
        <w:t>, la norma in esame non subordina il riconoscimento dell’agevolazione alla circostanza che il lavoratore operi sulla base di un particolare contratto di lavoro.</w:t>
      </w:r>
    </w:p>
    <w:p w14:paraId="2CCA873F" w14:textId="7FB06412" w:rsidR="004C4CC6" w:rsidRPr="004C4CC6" w:rsidRDefault="004C4CC6" w:rsidP="004C4CC6">
      <w:pPr>
        <w:spacing w:after="120" w:line="300" w:lineRule="auto"/>
        <w:jc w:val="both"/>
        <w:rPr>
          <w:rFonts w:ascii="Calibri" w:hAnsi="Calibri" w:cs="Calibri"/>
        </w:rPr>
      </w:pPr>
      <w:r w:rsidRPr="004C4CC6">
        <w:rPr>
          <w:rFonts w:ascii="Calibri" w:hAnsi="Calibri" w:cs="Calibri"/>
        </w:rPr>
        <w:t xml:space="preserve">È lo stesso dato normativo, pertanto, a rendere evidente che nella quantificazione della deduzione devono essere considerate anche le spese sostenute per le prestazioni rese dai lavoratori a progetto, dei collaboratori anche occasionali e dagli amministratori nella misura in cui le stesse siano riferite alle competenze espletate da tali lavoratori nell’ambito della ricerca e sviluppo. Similmente, possono essere dedotte anche le somme erogate a titolo di borse di studio finalizzate alle attività di ricerca e </w:t>
      </w:r>
      <w:r w:rsidRPr="004C4CC6">
        <w:rPr>
          <w:rFonts w:ascii="Calibri" w:hAnsi="Calibri" w:cs="Calibri"/>
        </w:rPr>
        <w:lastRenderedPageBreak/>
        <w:t xml:space="preserve">sviluppo, sempre che le stesse non siano escluse dalla determinazione della base imponibile, in forza di quanto disposto dall’art. 10, comma 1, del </w:t>
      </w:r>
      <w:r w:rsidR="00015C81">
        <w:rPr>
          <w:rFonts w:ascii="Calibri" w:hAnsi="Calibri" w:cs="Calibri"/>
        </w:rPr>
        <w:t>“Decreto IRAP”</w:t>
      </w:r>
      <w:r w:rsidR="006A5451">
        <w:rPr>
          <w:rStyle w:val="Rimandonotaapidipagina"/>
          <w:rFonts w:ascii="Calibri" w:hAnsi="Calibri" w:cs="Calibri"/>
        </w:rPr>
        <w:footnoteReference w:id="16"/>
      </w:r>
      <w:r w:rsidRPr="004C4CC6">
        <w:rPr>
          <w:rFonts w:ascii="Calibri" w:hAnsi="Calibri" w:cs="Calibri"/>
        </w:rPr>
        <w:t>.</w:t>
      </w:r>
    </w:p>
    <w:p w14:paraId="70B34E3B" w14:textId="7E501856" w:rsidR="004C4CC6" w:rsidRPr="004C4CC6" w:rsidRDefault="004C4CC6" w:rsidP="004C4CC6">
      <w:pPr>
        <w:spacing w:after="120" w:line="300" w:lineRule="auto"/>
        <w:jc w:val="both"/>
        <w:rPr>
          <w:rFonts w:ascii="Calibri" w:hAnsi="Calibri" w:cs="Calibri"/>
        </w:rPr>
      </w:pPr>
      <w:r w:rsidRPr="004C4CC6">
        <w:rPr>
          <w:rFonts w:ascii="Calibri" w:hAnsi="Calibri" w:cs="Calibri"/>
        </w:rPr>
        <w:t>Infine, nel caso in cui alcuni lavoratori operino sia nell’ambito dell’attività di ricerca che in altri settori aziendali, la deduzione potrà essere operata solo in relazione alle spese che, sulla base di oggettivi criteri di ripartizione, risultino riferibili alle competenze espletate da tali lavoratori nell’ambito della ricerca e sviluppo</w:t>
      </w:r>
      <w:r w:rsidR="006A5451">
        <w:rPr>
          <w:rStyle w:val="Rimandonotaapidipagina"/>
          <w:rFonts w:ascii="Calibri" w:hAnsi="Calibri" w:cs="Calibri"/>
        </w:rPr>
        <w:footnoteReference w:id="17"/>
      </w:r>
      <w:r w:rsidR="006A5451">
        <w:rPr>
          <w:rFonts w:ascii="Calibri" w:hAnsi="Calibri" w:cs="Calibri"/>
        </w:rPr>
        <w:t xml:space="preserve">. </w:t>
      </w:r>
      <w:r w:rsidRPr="004C4CC6">
        <w:rPr>
          <w:rFonts w:ascii="Calibri" w:hAnsi="Calibri" w:cs="Calibri"/>
        </w:rPr>
        <w:t xml:space="preserve">Pertanto, a differenza di quanto avviene con riferimento alle deduzioni di cui ai precedenti nn. 2 e 4 del comma 1, </w:t>
      </w:r>
      <w:r w:rsidR="00350D5B">
        <w:rPr>
          <w:rFonts w:ascii="Calibri" w:hAnsi="Calibri" w:cs="Calibri"/>
        </w:rPr>
        <w:t>lettera</w:t>
      </w:r>
      <w:r w:rsidRPr="004C4CC6">
        <w:rPr>
          <w:rFonts w:ascii="Calibri" w:hAnsi="Calibri" w:cs="Calibri"/>
        </w:rPr>
        <w:t xml:space="preserve"> a) dell’articolo 11 in esame, nel caso di utilizzo promiscuo dei lavoratori, non sarà necessario effettuare alcuna riduzione proporzionale della deduzione in esame.</w:t>
      </w:r>
    </w:p>
    <w:p w14:paraId="29CD1F2D" w14:textId="018BB24B" w:rsidR="004C4CC6" w:rsidRPr="004C4CC6" w:rsidRDefault="004C4CC6" w:rsidP="004C4CC6">
      <w:pPr>
        <w:spacing w:after="120" w:line="300" w:lineRule="auto"/>
        <w:jc w:val="both"/>
        <w:rPr>
          <w:rFonts w:ascii="Calibri" w:hAnsi="Calibri" w:cs="Calibri"/>
        </w:rPr>
      </w:pPr>
      <w:r w:rsidRPr="004C4CC6">
        <w:rPr>
          <w:rFonts w:ascii="Calibri" w:hAnsi="Calibri" w:cs="Calibri"/>
        </w:rPr>
        <w:t>Ai sensi di quanto disposto dal comma 4-</w:t>
      </w:r>
      <w:r w:rsidRPr="006A5451">
        <w:rPr>
          <w:rFonts w:ascii="Calibri" w:hAnsi="Calibri" w:cs="Calibri"/>
          <w:i/>
          <w:iCs/>
        </w:rPr>
        <w:t>septies</w:t>
      </w:r>
      <w:r w:rsidRPr="004C4CC6">
        <w:rPr>
          <w:rFonts w:ascii="Calibri" w:hAnsi="Calibri" w:cs="Calibri"/>
        </w:rPr>
        <w:t xml:space="preserve"> dell’articolo 11 del </w:t>
      </w:r>
      <w:r w:rsidR="00015C81">
        <w:rPr>
          <w:rFonts w:ascii="Calibri" w:hAnsi="Calibri" w:cs="Calibri"/>
        </w:rPr>
        <w:t>“Decreto IRAP”</w:t>
      </w:r>
      <w:r w:rsidRPr="004C4CC6">
        <w:rPr>
          <w:rFonts w:ascii="Calibri" w:hAnsi="Calibri" w:cs="Calibri"/>
        </w:rPr>
        <w:t xml:space="preserve">, la presente deduzione è alternativa alla fruizione delle deduzioni di cui all’articolo 11, comma 1, lettera a), nn. 2 e 4. Restano, viceversa, in ogni caso applicabili (al ricorrerne dei requisiti) le deduzioni di cui al medesimo articolo 11, comma 1, </w:t>
      </w:r>
      <w:r w:rsidR="00350D5B">
        <w:rPr>
          <w:rFonts w:ascii="Calibri" w:hAnsi="Calibri" w:cs="Calibri"/>
        </w:rPr>
        <w:t>lettera</w:t>
      </w:r>
      <w:r w:rsidRPr="004C4CC6">
        <w:rPr>
          <w:rFonts w:ascii="Calibri" w:hAnsi="Calibri" w:cs="Calibri"/>
        </w:rPr>
        <w:t xml:space="preserve"> a), n. 1, comma 4-</w:t>
      </w:r>
      <w:r w:rsidRPr="00015C81">
        <w:rPr>
          <w:rFonts w:ascii="Calibri" w:hAnsi="Calibri" w:cs="Calibri"/>
          <w:i/>
          <w:iCs/>
        </w:rPr>
        <w:t>bis</w:t>
      </w:r>
      <w:r w:rsidRPr="004C4CC6">
        <w:rPr>
          <w:rFonts w:ascii="Calibri" w:hAnsi="Calibri" w:cs="Calibri"/>
        </w:rPr>
        <w:t xml:space="preserve"> e 4-</w:t>
      </w:r>
      <w:r w:rsidRPr="00015C81">
        <w:rPr>
          <w:rFonts w:ascii="Calibri" w:hAnsi="Calibri" w:cs="Calibri"/>
          <w:i/>
          <w:iCs/>
        </w:rPr>
        <w:t>quater</w:t>
      </w:r>
      <w:r w:rsidR="006A5451">
        <w:rPr>
          <w:rFonts w:ascii="Calibri" w:hAnsi="Calibri" w:cs="Calibri"/>
          <w:i/>
          <w:iCs/>
        </w:rPr>
        <w:t xml:space="preserve"> </w:t>
      </w:r>
      <w:r w:rsidR="006A5451">
        <w:rPr>
          <w:rFonts w:ascii="Calibri" w:hAnsi="Calibri" w:cs="Calibri"/>
        </w:rPr>
        <w:t>del “Decreto IRAP”</w:t>
      </w:r>
      <w:r w:rsidRPr="004C4CC6">
        <w:rPr>
          <w:rFonts w:ascii="Calibri" w:hAnsi="Calibri" w:cs="Calibri"/>
        </w:rPr>
        <w:t>.</w:t>
      </w:r>
    </w:p>
    <w:p w14:paraId="3D31D0FF" w14:textId="1292FE49" w:rsidR="004C4CC6" w:rsidRPr="004C4CC6" w:rsidRDefault="004C4CC6" w:rsidP="004C4CC6">
      <w:pPr>
        <w:spacing w:after="120" w:line="300" w:lineRule="auto"/>
        <w:jc w:val="both"/>
        <w:rPr>
          <w:rFonts w:ascii="Calibri" w:hAnsi="Calibri" w:cs="Calibri"/>
        </w:rPr>
      </w:pPr>
      <w:r w:rsidRPr="004C4CC6">
        <w:rPr>
          <w:rFonts w:ascii="Calibri" w:hAnsi="Calibri" w:cs="Calibri"/>
        </w:rPr>
        <w:t xml:space="preserve">Anche in questo caso si ricorda che il divieto di cumulo opera con riferimento </w:t>
      </w:r>
      <w:r w:rsidR="006A5451">
        <w:rPr>
          <w:rFonts w:ascii="Calibri" w:hAnsi="Calibri" w:cs="Calibri"/>
        </w:rPr>
        <w:t>a ciascun</w:t>
      </w:r>
      <w:r w:rsidRPr="004C4CC6">
        <w:rPr>
          <w:rFonts w:ascii="Calibri" w:hAnsi="Calibri" w:cs="Calibri"/>
        </w:rPr>
        <w:t xml:space="preserve"> dipendente</w:t>
      </w:r>
      <w:r w:rsidR="006A5451">
        <w:rPr>
          <w:rStyle w:val="Rimandonotaapidipagina"/>
          <w:rFonts w:ascii="Calibri" w:hAnsi="Calibri" w:cs="Calibri"/>
        </w:rPr>
        <w:footnoteReference w:id="18"/>
      </w:r>
      <w:r w:rsidRPr="004C4CC6">
        <w:rPr>
          <w:rFonts w:ascii="Calibri" w:hAnsi="Calibri" w:cs="Calibri"/>
        </w:rPr>
        <w:t>. Il criterio dell’alternatività, quindi, vieta di cumulare</w:t>
      </w:r>
      <w:r w:rsidR="006A5451">
        <w:rPr>
          <w:rFonts w:ascii="Calibri" w:hAnsi="Calibri" w:cs="Calibri"/>
        </w:rPr>
        <w:t xml:space="preserve"> dette deduzioni</w:t>
      </w:r>
      <w:r w:rsidRPr="004C4CC6">
        <w:rPr>
          <w:rFonts w:ascii="Calibri" w:hAnsi="Calibri" w:cs="Calibri"/>
        </w:rPr>
        <w:t xml:space="preserve"> in relazione allo stesso dipendente, senza per questo impedire scelte differenziate per ciascuno dei dipendenti. Di conseguenza, per massimizzare il vantaggio fiscale è necessario confrontare, in relazione a ciascun dipendente, il beneficio ottenibile applicando le diverse deduzioni fra loro alternative.</w:t>
      </w:r>
    </w:p>
    <w:p w14:paraId="3E5B2CE6" w14:textId="6A030799" w:rsidR="00591E15" w:rsidRDefault="004C4CC6" w:rsidP="004C4CC6">
      <w:pPr>
        <w:spacing w:after="120" w:line="300" w:lineRule="auto"/>
        <w:jc w:val="both"/>
        <w:rPr>
          <w:rFonts w:ascii="Calibri" w:hAnsi="Calibri" w:cs="Calibri"/>
        </w:rPr>
      </w:pPr>
      <w:r w:rsidRPr="004C4CC6">
        <w:rPr>
          <w:rFonts w:ascii="Calibri" w:hAnsi="Calibri" w:cs="Calibri"/>
        </w:rPr>
        <w:t>Infine, il medesimo comma 4-</w:t>
      </w:r>
      <w:r w:rsidRPr="006A5451">
        <w:rPr>
          <w:rFonts w:ascii="Calibri" w:hAnsi="Calibri" w:cs="Calibri"/>
          <w:i/>
          <w:iCs/>
        </w:rPr>
        <w:t>septies</w:t>
      </w:r>
      <w:r w:rsidRPr="004C4CC6">
        <w:rPr>
          <w:rFonts w:ascii="Calibri" w:hAnsi="Calibri" w:cs="Calibri"/>
        </w:rPr>
        <w:t xml:space="preserve"> </w:t>
      </w:r>
      <w:r w:rsidR="006A5451">
        <w:rPr>
          <w:rFonts w:ascii="Calibri" w:hAnsi="Calibri" w:cs="Calibri"/>
        </w:rPr>
        <w:t xml:space="preserve">dell’articolo 11 del “Decreto IRAP” </w:t>
      </w:r>
      <w:r w:rsidRPr="004C4CC6">
        <w:rPr>
          <w:rFonts w:ascii="Calibri" w:hAnsi="Calibri" w:cs="Calibri"/>
        </w:rPr>
        <w:t xml:space="preserve">precisa che per </w:t>
      </w:r>
      <w:r w:rsidR="006A5451">
        <w:rPr>
          <w:rFonts w:ascii="Calibri" w:hAnsi="Calibri" w:cs="Calibri"/>
        </w:rPr>
        <w:t>ogni</w:t>
      </w:r>
      <w:r w:rsidRPr="004C4CC6">
        <w:rPr>
          <w:rFonts w:ascii="Calibri" w:hAnsi="Calibri" w:cs="Calibri"/>
        </w:rPr>
        <w:t xml:space="preserve"> dipendente l’ammontare della deduzione non può comunque eccedere il limite massimo rappresentato dalla retribuzione e dagli altri oneri e spese a carico del datore di lavoro. Il costo del lavoro rappresenta, pertanto, il limite massimo della deduzione fruibile.</w:t>
      </w:r>
    </w:p>
    <w:p w14:paraId="06BC2159" w14:textId="658438B8" w:rsidR="00D57D54" w:rsidRPr="00157229" w:rsidRDefault="00DB6A8B" w:rsidP="00D57D54">
      <w:pPr>
        <w:pStyle w:val="Titolo2"/>
        <w:numPr>
          <w:ilvl w:val="0"/>
          <w:numId w:val="13"/>
        </w:numPr>
      </w:pPr>
      <w:bookmarkStart w:id="10" w:name="_Toc56777656"/>
      <w:r>
        <w:t>Deduzione forfettaria (a</w:t>
      </w:r>
      <w:r w:rsidR="00D57D54" w:rsidRPr="00BD2A0C">
        <w:t xml:space="preserve">rticolo 11, comma </w:t>
      </w:r>
      <w:r w:rsidR="00D57D54">
        <w:t>4-</w:t>
      </w:r>
      <w:r w:rsidR="00D57D54">
        <w:rPr>
          <w:i w:val="0"/>
          <w:iCs/>
        </w:rPr>
        <w:t>bis</w:t>
      </w:r>
      <w:r>
        <w:rPr>
          <w:i w:val="0"/>
          <w:iCs/>
        </w:rPr>
        <w:t xml:space="preserve"> </w:t>
      </w:r>
      <w:r>
        <w:t>del “Decreto IRAP”)</w:t>
      </w:r>
      <w:bookmarkEnd w:id="10"/>
    </w:p>
    <w:p w14:paraId="4BC1FBC0" w14:textId="77777777" w:rsidR="00D57D54" w:rsidRPr="00D57D54" w:rsidRDefault="00D57D54" w:rsidP="00D57D54">
      <w:pPr>
        <w:spacing w:after="120" w:line="300" w:lineRule="auto"/>
        <w:jc w:val="both"/>
        <w:rPr>
          <w:rFonts w:ascii="Calibri" w:hAnsi="Calibri" w:cs="Calibri"/>
        </w:rPr>
      </w:pPr>
      <w:r w:rsidRPr="00D57D54">
        <w:rPr>
          <w:rFonts w:ascii="Calibri" w:hAnsi="Calibri" w:cs="Calibri"/>
        </w:rPr>
        <w:t>La disposizione ammette in deduzione dalla base imponibile IRAP una deduzione forfettaria, fino a concorrenza, dei seguenti importi:</w:t>
      </w:r>
    </w:p>
    <w:p w14:paraId="6BE3D58E" w14:textId="41CE548B" w:rsidR="00D57D54" w:rsidRPr="00D57D54" w:rsidRDefault="00D57D54" w:rsidP="00D36947">
      <w:pPr>
        <w:pStyle w:val="Paragrafoelenco"/>
        <w:numPr>
          <w:ilvl w:val="0"/>
          <w:numId w:val="19"/>
        </w:numPr>
        <w:spacing w:after="60" w:line="300" w:lineRule="auto"/>
        <w:ind w:left="426" w:hanging="284"/>
        <w:contextualSpacing w:val="0"/>
        <w:jc w:val="both"/>
        <w:rPr>
          <w:rFonts w:ascii="Calibri" w:hAnsi="Calibri" w:cs="Calibri"/>
        </w:rPr>
      </w:pPr>
      <w:r w:rsidRPr="00D57D54">
        <w:rPr>
          <w:rFonts w:ascii="Calibri" w:hAnsi="Calibri" w:cs="Calibri"/>
        </w:rPr>
        <w:t>euro 8.000 se la base imponibile non supera euro 180.759,91;</w:t>
      </w:r>
    </w:p>
    <w:p w14:paraId="1E849C81" w14:textId="22681AD0" w:rsidR="00D57D54" w:rsidRPr="00D57D54" w:rsidRDefault="00D57D54" w:rsidP="00D36947">
      <w:pPr>
        <w:pStyle w:val="Paragrafoelenco"/>
        <w:numPr>
          <w:ilvl w:val="0"/>
          <w:numId w:val="19"/>
        </w:numPr>
        <w:spacing w:after="60" w:line="300" w:lineRule="auto"/>
        <w:ind w:left="426" w:hanging="284"/>
        <w:contextualSpacing w:val="0"/>
        <w:jc w:val="both"/>
        <w:rPr>
          <w:rFonts w:ascii="Calibri" w:hAnsi="Calibri" w:cs="Calibri"/>
        </w:rPr>
      </w:pPr>
      <w:r w:rsidRPr="00D57D54">
        <w:rPr>
          <w:rFonts w:ascii="Calibri" w:hAnsi="Calibri" w:cs="Calibri"/>
        </w:rPr>
        <w:t>euro 6.000 se la base imponibile supera euro 180.759,91 ma non euro 180.839,91;</w:t>
      </w:r>
    </w:p>
    <w:p w14:paraId="6074B456" w14:textId="6D6FB22E" w:rsidR="00D57D54" w:rsidRPr="00D57D54" w:rsidRDefault="00D57D54" w:rsidP="00D36947">
      <w:pPr>
        <w:pStyle w:val="Paragrafoelenco"/>
        <w:numPr>
          <w:ilvl w:val="0"/>
          <w:numId w:val="19"/>
        </w:numPr>
        <w:spacing w:after="60" w:line="300" w:lineRule="auto"/>
        <w:ind w:left="426" w:hanging="284"/>
        <w:contextualSpacing w:val="0"/>
        <w:jc w:val="both"/>
        <w:rPr>
          <w:rFonts w:ascii="Calibri" w:hAnsi="Calibri" w:cs="Calibri"/>
        </w:rPr>
      </w:pPr>
      <w:r w:rsidRPr="00D57D54">
        <w:rPr>
          <w:rFonts w:ascii="Calibri" w:hAnsi="Calibri" w:cs="Calibri"/>
        </w:rPr>
        <w:t>euro 4.000 se la base imponibile supera euro 180.839,91 ma non euro 180.919,91;</w:t>
      </w:r>
    </w:p>
    <w:p w14:paraId="78373F46" w14:textId="4F0E9D1F" w:rsidR="00D57D54" w:rsidRPr="00D57D54" w:rsidRDefault="00D57D54" w:rsidP="00D36947">
      <w:pPr>
        <w:pStyle w:val="Paragrafoelenco"/>
        <w:numPr>
          <w:ilvl w:val="0"/>
          <w:numId w:val="19"/>
        </w:numPr>
        <w:spacing w:after="60" w:line="300" w:lineRule="auto"/>
        <w:ind w:left="426" w:hanging="284"/>
        <w:contextualSpacing w:val="0"/>
        <w:jc w:val="both"/>
        <w:rPr>
          <w:rFonts w:ascii="Calibri" w:hAnsi="Calibri" w:cs="Calibri"/>
        </w:rPr>
      </w:pPr>
      <w:r w:rsidRPr="00D57D54">
        <w:rPr>
          <w:rFonts w:ascii="Calibri" w:hAnsi="Calibri" w:cs="Calibri"/>
        </w:rPr>
        <w:t>euro 2.000 se la base imponibile supera euro 180.919,91 ma non euro 180.999,91</w:t>
      </w:r>
      <w:r w:rsidR="00D36947">
        <w:rPr>
          <w:rFonts w:ascii="Calibri" w:hAnsi="Calibri" w:cs="Calibri"/>
        </w:rPr>
        <w:t>.</w:t>
      </w:r>
    </w:p>
    <w:p w14:paraId="7A83602E" w14:textId="77777777" w:rsidR="00D57D54" w:rsidRPr="00D57D54" w:rsidRDefault="00D57D54" w:rsidP="00D36947">
      <w:pPr>
        <w:spacing w:before="120" w:after="120" w:line="300" w:lineRule="auto"/>
        <w:jc w:val="both"/>
        <w:rPr>
          <w:rFonts w:ascii="Calibri" w:hAnsi="Calibri" w:cs="Calibri"/>
        </w:rPr>
      </w:pPr>
      <w:r w:rsidRPr="00D57D54">
        <w:rPr>
          <w:rFonts w:ascii="Calibri" w:hAnsi="Calibri" w:cs="Calibri"/>
        </w:rPr>
        <w:lastRenderedPageBreak/>
        <w:t>Per le società di persone, le società semplici e le persone fisiche esercenti arti o professioni l’importo delle cennate deduzioni è aumentato, rispettivamente, di euro 5.000, di euro 3.750, di euro, di euro 1.250.</w:t>
      </w:r>
    </w:p>
    <w:p w14:paraId="1D0DB960" w14:textId="77777777" w:rsidR="00D57D54" w:rsidRPr="00D57D54" w:rsidRDefault="00D57D54" w:rsidP="00D57D54">
      <w:pPr>
        <w:spacing w:after="120" w:line="300" w:lineRule="auto"/>
        <w:jc w:val="both"/>
        <w:rPr>
          <w:rFonts w:ascii="Calibri" w:hAnsi="Calibri" w:cs="Calibri"/>
        </w:rPr>
      </w:pPr>
      <w:r w:rsidRPr="00D57D54">
        <w:rPr>
          <w:rFonts w:ascii="Calibri" w:hAnsi="Calibri" w:cs="Calibri"/>
        </w:rPr>
        <w:t>In caso di periodo d’imposta di durata inferiore o superiore a dodici mesi e in caso di inizio e cessazione dell’attività in corso d'anno, gli importi della deduzione e della base imponibile sono ragguagliati all’anno solare.</w:t>
      </w:r>
    </w:p>
    <w:p w14:paraId="328D6AAC" w14:textId="2745E060" w:rsidR="00D57D54" w:rsidRPr="00D57D54" w:rsidRDefault="00D57D54" w:rsidP="00D57D54">
      <w:pPr>
        <w:spacing w:after="120" w:line="300" w:lineRule="auto"/>
        <w:jc w:val="both"/>
        <w:rPr>
          <w:rFonts w:ascii="Calibri" w:hAnsi="Calibri" w:cs="Calibri"/>
        </w:rPr>
      </w:pPr>
      <w:r w:rsidRPr="00D57D54">
        <w:rPr>
          <w:rFonts w:ascii="Calibri" w:hAnsi="Calibri" w:cs="Calibri"/>
        </w:rPr>
        <w:t xml:space="preserve">Sotto il profilo soggettivo, possono usufruire della deduzione in esame gli stessi soggetti che possono beneficiare delle deduzioni di cui al comma 1, </w:t>
      </w:r>
      <w:r w:rsidR="00350D5B">
        <w:rPr>
          <w:rFonts w:ascii="Calibri" w:hAnsi="Calibri" w:cs="Calibri"/>
        </w:rPr>
        <w:t>lettera</w:t>
      </w:r>
      <w:r w:rsidRPr="00D57D54">
        <w:rPr>
          <w:rFonts w:ascii="Calibri" w:hAnsi="Calibri" w:cs="Calibri"/>
        </w:rPr>
        <w:t xml:space="preserve"> a), nn. 2, 4 e 5</w:t>
      </w:r>
      <w:r w:rsidR="00B66FCF">
        <w:rPr>
          <w:rFonts w:ascii="Calibri" w:hAnsi="Calibri" w:cs="Calibri"/>
        </w:rPr>
        <w:t xml:space="preserve"> dell’articolo 11 del “Decreto IRAP”</w:t>
      </w:r>
      <w:r w:rsidR="00B66FCF">
        <w:rPr>
          <w:rStyle w:val="Rimandonotaapidipagina"/>
          <w:rFonts w:ascii="Calibri" w:hAnsi="Calibri" w:cs="Calibri"/>
        </w:rPr>
        <w:footnoteReference w:id="19"/>
      </w:r>
      <w:r w:rsidRPr="00D57D54">
        <w:rPr>
          <w:rFonts w:ascii="Calibri" w:hAnsi="Calibri" w:cs="Calibri"/>
        </w:rPr>
        <w:t xml:space="preserve"> compresi, quindi, gli </w:t>
      </w:r>
      <w:r w:rsidR="00C55FA5">
        <w:rPr>
          <w:rFonts w:ascii="Calibri" w:hAnsi="Calibri" w:cs="Calibri"/>
        </w:rPr>
        <w:t>e</w:t>
      </w:r>
      <w:r w:rsidRPr="00D57D54">
        <w:rPr>
          <w:rFonts w:ascii="Calibri" w:hAnsi="Calibri" w:cs="Calibri"/>
        </w:rPr>
        <w:t>nti non commerciali di diritto privato. In quest’ultimo caso, la disciplina di riferimento non prevede alcuna limitazione in funzione della tipologia (commerciale o istituzionale) di attività esercitata.</w:t>
      </w:r>
    </w:p>
    <w:p w14:paraId="236967F7" w14:textId="42568071" w:rsidR="004C4CC6" w:rsidRDefault="00D57D54" w:rsidP="00D57D54">
      <w:pPr>
        <w:spacing w:after="120" w:line="300" w:lineRule="auto"/>
        <w:jc w:val="both"/>
        <w:rPr>
          <w:rFonts w:ascii="Calibri" w:hAnsi="Calibri" w:cs="Calibri"/>
        </w:rPr>
      </w:pPr>
      <w:r w:rsidRPr="00D57D54">
        <w:rPr>
          <w:rFonts w:ascii="Calibri" w:hAnsi="Calibri" w:cs="Calibri"/>
        </w:rPr>
        <w:t xml:space="preserve">La presente deduzione non è alternativa e può </w:t>
      </w:r>
      <w:r w:rsidR="00B66FCF">
        <w:rPr>
          <w:rFonts w:ascii="Calibri" w:hAnsi="Calibri" w:cs="Calibri"/>
        </w:rPr>
        <w:t xml:space="preserve">quindi </w:t>
      </w:r>
      <w:r w:rsidRPr="00D57D54">
        <w:rPr>
          <w:rFonts w:ascii="Calibri" w:hAnsi="Calibri" w:cs="Calibri"/>
        </w:rPr>
        <w:t>essere cumulata alle altre deduzioni previste dall’articolo 11 in esame.</w:t>
      </w:r>
    </w:p>
    <w:p w14:paraId="310F5F00" w14:textId="1ED2A00B" w:rsidR="009C0507" w:rsidRPr="004F74D7" w:rsidRDefault="004F74D7" w:rsidP="009C0507">
      <w:pPr>
        <w:pStyle w:val="Titolo2"/>
        <w:numPr>
          <w:ilvl w:val="0"/>
          <w:numId w:val="13"/>
        </w:numPr>
      </w:pPr>
      <w:bookmarkStart w:id="11" w:name="_Toc56777657"/>
      <w:r>
        <w:t>Deduzione forfettaria per lavoratori dipendenti (a</w:t>
      </w:r>
      <w:r w:rsidR="009C0507" w:rsidRPr="00BD2A0C">
        <w:t xml:space="preserve">rticolo 11, comma </w:t>
      </w:r>
      <w:r w:rsidR="009C0507">
        <w:t>4-</w:t>
      </w:r>
      <w:r w:rsidR="009C0507">
        <w:rPr>
          <w:i w:val="0"/>
          <w:iCs/>
        </w:rPr>
        <w:t>bis.</w:t>
      </w:r>
      <w:r w:rsidR="009C0507">
        <w:t>1</w:t>
      </w:r>
      <w:r>
        <w:t xml:space="preserve"> </w:t>
      </w:r>
      <w:r w:rsidRPr="004F74D7">
        <w:t>del “Decreto IRAP”)</w:t>
      </w:r>
      <w:bookmarkEnd w:id="11"/>
    </w:p>
    <w:p w14:paraId="3BB30372" w14:textId="5A45B263" w:rsidR="00D871DE" w:rsidRPr="00D871DE" w:rsidRDefault="00D871DE" w:rsidP="00D871DE">
      <w:pPr>
        <w:spacing w:after="120" w:line="300" w:lineRule="auto"/>
        <w:jc w:val="both"/>
        <w:rPr>
          <w:rFonts w:ascii="Calibri" w:hAnsi="Calibri" w:cs="Calibri"/>
        </w:rPr>
      </w:pPr>
      <w:r w:rsidRPr="00D871DE">
        <w:rPr>
          <w:rFonts w:ascii="Calibri" w:hAnsi="Calibri" w:cs="Calibri"/>
        </w:rPr>
        <w:t>La disposizione ammette in deduzione dalla base imponibile IRAP una deduzione dalla base imponibile pari a euro 1.850, su base annua, per ogni lavoratore dipendente con contratto a tempo indeterminato o determinato</w:t>
      </w:r>
      <w:r w:rsidR="003E0EED">
        <w:rPr>
          <w:rStyle w:val="Rimandonotaapidipagina"/>
          <w:rFonts w:ascii="Calibri" w:hAnsi="Calibri" w:cs="Calibri"/>
        </w:rPr>
        <w:footnoteReference w:id="20"/>
      </w:r>
      <w:r w:rsidRPr="00D871DE">
        <w:rPr>
          <w:rFonts w:ascii="Calibri" w:hAnsi="Calibri" w:cs="Calibri"/>
        </w:rPr>
        <w:t>, impiegato nel periodo d’imposta fino a un massimo di cinque. Ai fini del computo del numero di lavoratori dipendenti per i quali spetta la deduzione, non si tiene conto degli apprendisti, dei disabili e del personale assunto con contratti di formazione lavoro.</w:t>
      </w:r>
    </w:p>
    <w:p w14:paraId="5D9801C2" w14:textId="06861FF5" w:rsidR="00D871DE" w:rsidRPr="00D871DE" w:rsidRDefault="00D871DE" w:rsidP="00D871DE">
      <w:pPr>
        <w:spacing w:after="120" w:line="300" w:lineRule="auto"/>
        <w:jc w:val="both"/>
        <w:rPr>
          <w:rFonts w:ascii="Calibri" w:hAnsi="Calibri" w:cs="Calibri"/>
        </w:rPr>
      </w:pPr>
      <w:r w:rsidRPr="00D871DE">
        <w:rPr>
          <w:rFonts w:ascii="Calibri" w:hAnsi="Calibri" w:cs="Calibri"/>
        </w:rPr>
        <w:t xml:space="preserve">Sotto il profilo soggettivo, possono usufruire della deduzione in esame gli stessi soggetti che possono beneficiare delle deduzioni di cui al comma 1, </w:t>
      </w:r>
      <w:r w:rsidR="00350D5B">
        <w:rPr>
          <w:rFonts w:ascii="Calibri" w:hAnsi="Calibri" w:cs="Calibri"/>
        </w:rPr>
        <w:t>lettera</w:t>
      </w:r>
      <w:r w:rsidRPr="00D871DE">
        <w:rPr>
          <w:rFonts w:ascii="Calibri" w:hAnsi="Calibri" w:cs="Calibri"/>
        </w:rPr>
        <w:t xml:space="preserve"> a), nn. 2, 4 e 5 </w:t>
      </w:r>
      <w:r w:rsidR="00337BFE">
        <w:rPr>
          <w:rFonts w:ascii="Calibri" w:hAnsi="Calibri" w:cs="Calibri"/>
        </w:rPr>
        <w:t xml:space="preserve">dell’articolo 11 del “Decreto IRAP” </w:t>
      </w:r>
      <w:r w:rsidRPr="00D871DE">
        <w:rPr>
          <w:rFonts w:ascii="Calibri" w:hAnsi="Calibri" w:cs="Calibri"/>
        </w:rPr>
        <w:t xml:space="preserve">compresi, quindi, gli </w:t>
      </w:r>
      <w:r w:rsidR="00C55FA5">
        <w:rPr>
          <w:rFonts w:ascii="Calibri" w:hAnsi="Calibri" w:cs="Calibri"/>
        </w:rPr>
        <w:t>e</w:t>
      </w:r>
      <w:r w:rsidRPr="00D871DE">
        <w:rPr>
          <w:rFonts w:ascii="Calibri" w:hAnsi="Calibri" w:cs="Calibri"/>
        </w:rPr>
        <w:t>nti non commerciali di diritto privato</w:t>
      </w:r>
      <w:r w:rsidR="00337BFE">
        <w:rPr>
          <w:rFonts w:ascii="Calibri" w:hAnsi="Calibri" w:cs="Calibri"/>
        </w:rPr>
        <w:t>; a</w:t>
      </w:r>
      <w:r w:rsidRPr="00D871DE">
        <w:rPr>
          <w:rFonts w:ascii="Calibri" w:hAnsi="Calibri" w:cs="Calibri"/>
        </w:rPr>
        <w:t xml:space="preserve"> condizione, tuttavia che </w:t>
      </w:r>
      <w:r w:rsidR="00337BFE">
        <w:rPr>
          <w:rFonts w:ascii="Calibri" w:hAnsi="Calibri" w:cs="Calibri"/>
        </w:rPr>
        <w:t>questi ultimi</w:t>
      </w:r>
      <w:r w:rsidRPr="00D871DE">
        <w:rPr>
          <w:rFonts w:ascii="Calibri" w:hAnsi="Calibri" w:cs="Calibri"/>
        </w:rPr>
        <w:t xml:space="preserve"> presentino componenti positivi che concorrono alla formazione del valore della produzione non superiori nel periodo d’imposta a 400.000,00 euro.</w:t>
      </w:r>
    </w:p>
    <w:p w14:paraId="367DFA3D" w14:textId="77777777" w:rsidR="00337BFE" w:rsidRDefault="00337BFE" w:rsidP="00D871DE">
      <w:pPr>
        <w:spacing w:after="120" w:line="300" w:lineRule="auto"/>
        <w:jc w:val="both"/>
        <w:rPr>
          <w:rFonts w:ascii="Calibri" w:hAnsi="Calibri" w:cs="Calibri"/>
        </w:rPr>
      </w:pPr>
      <w:r>
        <w:rPr>
          <w:rFonts w:ascii="Calibri" w:hAnsi="Calibri" w:cs="Calibri"/>
        </w:rPr>
        <w:t>A</w:t>
      </w:r>
      <w:r w:rsidRPr="00337BFE">
        <w:rPr>
          <w:rFonts w:ascii="Calibri" w:hAnsi="Calibri" w:cs="Calibri"/>
        </w:rPr>
        <w:t>i sensi di quanto disposto dal comma 4-</w:t>
      </w:r>
      <w:r w:rsidRPr="00337BFE">
        <w:rPr>
          <w:rFonts w:ascii="Calibri" w:hAnsi="Calibri" w:cs="Calibri"/>
          <w:i/>
          <w:iCs/>
        </w:rPr>
        <w:t>bis</w:t>
      </w:r>
      <w:r w:rsidRPr="00337BFE">
        <w:rPr>
          <w:rFonts w:ascii="Calibri" w:hAnsi="Calibri" w:cs="Calibri"/>
        </w:rPr>
        <w:t>.2 dell’articolo 11 in rassegna</w:t>
      </w:r>
      <w:r>
        <w:rPr>
          <w:rFonts w:ascii="Calibri" w:hAnsi="Calibri" w:cs="Calibri"/>
        </w:rPr>
        <w:t>, p</w:t>
      </w:r>
      <w:r w:rsidR="00D871DE" w:rsidRPr="00D871DE">
        <w:rPr>
          <w:rFonts w:ascii="Calibri" w:hAnsi="Calibri" w:cs="Calibri"/>
        </w:rPr>
        <w:t>er la corretta determinazione dell’importo deducibile va tenuto conto che, in caso di periodo d’imposta di durata inferiore o superiore a dodici mesi e in caso di inizio e cessazione dell’attività in corso d'anno, gli importi della deduzione e dei componenti positivi di cui alla disposizione in esame sono ragguagliati all’anno solare.</w:t>
      </w:r>
    </w:p>
    <w:p w14:paraId="2B88450C" w14:textId="409B197C" w:rsidR="00D871DE" w:rsidRPr="00D871DE" w:rsidRDefault="00D871DE" w:rsidP="00D871DE">
      <w:pPr>
        <w:spacing w:after="120" w:line="300" w:lineRule="auto"/>
        <w:jc w:val="both"/>
        <w:rPr>
          <w:rFonts w:ascii="Calibri" w:hAnsi="Calibri" w:cs="Calibri"/>
        </w:rPr>
      </w:pPr>
      <w:r w:rsidRPr="00D871DE">
        <w:rPr>
          <w:rFonts w:ascii="Calibri" w:hAnsi="Calibri" w:cs="Calibri"/>
        </w:rPr>
        <w:t>Inoltre, con riferimento ai lavoratori dipendenti a tempo indeterminato impiegati a tempo parziale (</w:t>
      </w:r>
      <w:r w:rsidR="00337BFE">
        <w:rPr>
          <w:rFonts w:ascii="Calibri" w:hAnsi="Calibri" w:cs="Calibri"/>
        </w:rPr>
        <w:t xml:space="preserve">con contratto </w:t>
      </w:r>
      <w:r w:rsidR="00337BFE">
        <w:rPr>
          <w:rFonts w:ascii="Calibri" w:hAnsi="Calibri" w:cs="Calibri"/>
          <w:i/>
          <w:iCs/>
        </w:rPr>
        <w:t xml:space="preserve">part-time </w:t>
      </w:r>
      <w:r w:rsidRPr="00D871DE">
        <w:rPr>
          <w:rFonts w:ascii="Calibri" w:hAnsi="Calibri" w:cs="Calibri"/>
        </w:rPr>
        <w:t>anche di tipo verticale e misto), il medesimo comma 4-</w:t>
      </w:r>
      <w:r w:rsidRPr="00015C81">
        <w:rPr>
          <w:rFonts w:ascii="Calibri" w:hAnsi="Calibri" w:cs="Calibri"/>
          <w:i/>
          <w:iCs/>
        </w:rPr>
        <w:t>bis</w:t>
      </w:r>
      <w:r w:rsidRPr="00D871DE">
        <w:rPr>
          <w:rFonts w:ascii="Calibri" w:hAnsi="Calibri" w:cs="Calibri"/>
        </w:rPr>
        <w:t xml:space="preserve">.2 prevede che la deduzione venga ragguagliata alla durata del rapporto di lavoro, su base annua. Pertanto, l’importo </w:t>
      </w:r>
      <w:r w:rsidRPr="00D871DE">
        <w:rPr>
          <w:rFonts w:ascii="Calibri" w:hAnsi="Calibri" w:cs="Calibri"/>
        </w:rPr>
        <w:lastRenderedPageBreak/>
        <w:t>della deduzione forfettaria deve essere ridotto in misura proporzionale alla durata del rapporto di lavoro (in caso di periodo d’imposta di durata inferiore o superiore ai 12 mesi e in caso di inizio o cessazione dell’attività in corso d’anno) e ridotto in misura proporzionale per i rapporti di lavoro a tempo parziale di tipo verticale e misto.</w:t>
      </w:r>
    </w:p>
    <w:p w14:paraId="25CDA179" w14:textId="1F903599" w:rsidR="00D871DE" w:rsidRPr="00D871DE" w:rsidRDefault="00D871DE" w:rsidP="00D871DE">
      <w:pPr>
        <w:spacing w:after="120" w:line="300" w:lineRule="auto"/>
        <w:jc w:val="both"/>
        <w:rPr>
          <w:rFonts w:ascii="Calibri" w:hAnsi="Calibri" w:cs="Calibri"/>
        </w:rPr>
      </w:pPr>
      <w:r w:rsidRPr="00D871DE">
        <w:rPr>
          <w:rFonts w:ascii="Calibri" w:hAnsi="Calibri" w:cs="Calibri"/>
        </w:rPr>
        <w:t>Similmente, nel caso in cui i lavoratori non siano impiegati per l’intero periodo d’imposta, si deve tenere conto unicamente degli effettivi giorni di calendario durante i quali i lavoratori hanno fatto parte della forza lavoro</w:t>
      </w:r>
      <w:r w:rsidR="00337BFE">
        <w:rPr>
          <w:rStyle w:val="Rimandonotaapidipagina"/>
          <w:rFonts w:ascii="Calibri" w:hAnsi="Calibri" w:cs="Calibri"/>
        </w:rPr>
        <w:footnoteReference w:id="21"/>
      </w:r>
      <w:r w:rsidRPr="00D871DE">
        <w:rPr>
          <w:rFonts w:ascii="Calibri" w:hAnsi="Calibri" w:cs="Calibri"/>
        </w:rPr>
        <w:t>.</w:t>
      </w:r>
    </w:p>
    <w:p w14:paraId="37D9CE43" w14:textId="08FE9AD1" w:rsidR="00591E15" w:rsidRDefault="00D871DE" w:rsidP="00D36947">
      <w:pPr>
        <w:spacing w:after="240" w:line="300" w:lineRule="auto"/>
        <w:jc w:val="both"/>
        <w:rPr>
          <w:rFonts w:ascii="Calibri" w:hAnsi="Calibri" w:cs="Calibri"/>
        </w:rPr>
      </w:pPr>
      <w:r w:rsidRPr="00D871DE">
        <w:rPr>
          <w:rFonts w:ascii="Calibri" w:hAnsi="Calibri" w:cs="Calibri"/>
        </w:rPr>
        <w:t xml:space="preserve">Con riferimento agli </w:t>
      </w:r>
      <w:r w:rsidR="00C55FA5">
        <w:rPr>
          <w:rFonts w:ascii="Calibri" w:hAnsi="Calibri" w:cs="Calibri"/>
        </w:rPr>
        <w:t>e</w:t>
      </w:r>
      <w:r w:rsidRPr="00D871DE">
        <w:rPr>
          <w:rFonts w:ascii="Calibri" w:hAnsi="Calibri" w:cs="Calibri"/>
        </w:rPr>
        <w:t>nti non commerciali, l’ultimo periodo del cenato comma 4-</w:t>
      </w:r>
      <w:r w:rsidRPr="00015C81">
        <w:rPr>
          <w:rFonts w:ascii="Calibri" w:hAnsi="Calibri" w:cs="Calibri"/>
          <w:i/>
          <w:iCs/>
        </w:rPr>
        <w:t>bis</w:t>
      </w:r>
      <w:r w:rsidRPr="00D871DE">
        <w:rPr>
          <w:rFonts w:ascii="Calibri" w:hAnsi="Calibri" w:cs="Calibri"/>
        </w:rPr>
        <w:t xml:space="preserve">.2 prevede che la deduzione compete unicamente in relazione ai dipendenti impiegati nell’attività commerciale eventualmente esercitata dall’ente in via non esclusiva o prevalente. Per i lavoratori impiegati promiscuamente sia nell’attività istituzionale che in quella commerciale, l’importo della deduzione va ridotto dell’importo forfettariamente imputabile all’attività istituzionale, determinato in base al rapporto di cui all’articolo 10, comma 2, del </w:t>
      </w:r>
      <w:r w:rsidR="00015C81">
        <w:rPr>
          <w:rFonts w:ascii="Calibri" w:hAnsi="Calibri" w:cs="Calibri"/>
        </w:rPr>
        <w:t>“Decreto IRAP”</w:t>
      </w:r>
      <w:r w:rsidRPr="00D871DE">
        <w:rPr>
          <w:rFonts w:ascii="Calibri" w:hAnsi="Calibri" w:cs="Calibri"/>
        </w:rPr>
        <w:t>. In tale ultima ipotesi, dunque, la deduzione spettante va ridotta in base alla seguente proporzione:</w:t>
      </w:r>
    </w:p>
    <w:p w14:paraId="406EAA04" w14:textId="77777777" w:rsidR="00D871DE" w:rsidRPr="001C2D5D" w:rsidRDefault="00D871DE" w:rsidP="00D871DE">
      <w:pPr>
        <w:spacing w:after="0" w:line="120" w:lineRule="atLeast"/>
        <w:jc w:val="center"/>
        <w:rPr>
          <w:rFonts w:cstheme="minorHAnsi"/>
          <w:sz w:val="16"/>
          <w:szCs w:val="16"/>
        </w:rPr>
      </w:pPr>
      <w:r w:rsidRPr="001C2D5D">
        <w:rPr>
          <w:rFonts w:cstheme="minorHAnsi"/>
          <w:sz w:val="16"/>
          <w:szCs w:val="16"/>
        </w:rPr>
        <w:t>Ammontare dei ricavi e degli altri proventi relativi all’attività istituzionale (rilevanti ai fini IRAP)</w:t>
      </w:r>
    </w:p>
    <w:p w14:paraId="707D27BA" w14:textId="77777777" w:rsidR="00D871DE" w:rsidRPr="001C2D5D" w:rsidRDefault="00D871DE" w:rsidP="00D36947">
      <w:pPr>
        <w:spacing w:after="0" w:line="120" w:lineRule="exact"/>
        <w:jc w:val="center"/>
        <w:rPr>
          <w:rFonts w:cstheme="minorHAnsi"/>
          <w:sz w:val="16"/>
          <w:szCs w:val="16"/>
        </w:rPr>
      </w:pPr>
      <w:r w:rsidRPr="001C2D5D">
        <w:rPr>
          <w:rFonts w:cstheme="minorHAnsi"/>
          <w:sz w:val="16"/>
          <w:szCs w:val="16"/>
        </w:rPr>
        <w:t>_____________________________________________________________________________</w:t>
      </w:r>
    </w:p>
    <w:p w14:paraId="0C6A0754" w14:textId="77777777" w:rsidR="00D871DE" w:rsidRPr="001C2D5D" w:rsidRDefault="00D871DE" w:rsidP="00D871DE">
      <w:pPr>
        <w:spacing w:after="120" w:line="240" w:lineRule="exact"/>
        <w:jc w:val="center"/>
        <w:rPr>
          <w:rFonts w:cstheme="minorHAnsi"/>
          <w:sz w:val="16"/>
          <w:szCs w:val="16"/>
        </w:rPr>
      </w:pPr>
      <w:r w:rsidRPr="001C2D5D">
        <w:rPr>
          <w:rFonts w:cstheme="minorHAnsi"/>
          <w:sz w:val="16"/>
          <w:szCs w:val="16"/>
        </w:rPr>
        <w:t>ammontare complessivo di tutti i ricavi e proventi</w:t>
      </w:r>
    </w:p>
    <w:p w14:paraId="5A4306BB" w14:textId="1522EED4" w:rsidR="00D871DE" w:rsidRPr="00D871DE" w:rsidRDefault="00D871DE" w:rsidP="00D36947">
      <w:pPr>
        <w:spacing w:before="240" w:after="120" w:line="300" w:lineRule="auto"/>
        <w:jc w:val="both"/>
        <w:rPr>
          <w:rFonts w:ascii="Calibri" w:hAnsi="Calibri" w:cs="Calibri"/>
        </w:rPr>
      </w:pPr>
      <w:r w:rsidRPr="00D871DE">
        <w:rPr>
          <w:rFonts w:ascii="Calibri" w:hAnsi="Calibri" w:cs="Calibri"/>
        </w:rPr>
        <w:t>Infine, ai sensi di quanto disposto dal comma 4-</w:t>
      </w:r>
      <w:r w:rsidRPr="00015C81">
        <w:rPr>
          <w:rFonts w:ascii="Calibri" w:hAnsi="Calibri" w:cs="Calibri"/>
          <w:i/>
          <w:iCs/>
        </w:rPr>
        <w:t>septies</w:t>
      </w:r>
      <w:r w:rsidRPr="00D871DE">
        <w:rPr>
          <w:rFonts w:ascii="Calibri" w:hAnsi="Calibri" w:cs="Calibri"/>
        </w:rPr>
        <w:t xml:space="preserve"> del medesimo articolo 11</w:t>
      </w:r>
      <w:r w:rsidR="00D57617">
        <w:rPr>
          <w:rFonts w:ascii="Calibri" w:hAnsi="Calibri" w:cs="Calibri"/>
        </w:rPr>
        <w:t xml:space="preserve"> del “Decreto IRAP”</w:t>
      </w:r>
      <w:r w:rsidRPr="00D871DE">
        <w:rPr>
          <w:rFonts w:ascii="Calibri" w:hAnsi="Calibri" w:cs="Calibri"/>
        </w:rPr>
        <w:t>, la presente deduzione è alternativa alla fruizione delle deduzioni di cui al</w:t>
      </w:r>
      <w:r w:rsidR="00D57617">
        <w:rPr>
          <w:rFonts w:ascii="Calibri" w:hAnsi="Calibri" w:cs="Calibri"/>
        </w:rPr>
        <w:t xml:space="preserve"> medesimo </w:t>
      </w:r>
      <w:r w:rsidRPr="00D871DE">
        <w:rPr>
          <w:rFonts w:ascii="Calibri" w:hAnsi="Calibri" w:cs="Calibri"/>
        </w:rPr>
        <w:t>articolo 11, comma 1, lettera a), nn. 2 e 4. Restano, viceversa, in ogni caso applicabili (al ricorrerne dei requisiti) le deduzioni di cui al</w:t>
      </w:r>
      <w:r w:rsidR="00D57617">
        <w:rPr>
          <w:rFonts w:ascii="Calibri" w:hAnsi="Calibri" w:cs="Calibri"/>
        </w:rPr>
        <w:t>l’</w:t>
      </w:r>
      <w:r w:rsidRPr="00D871DE">
        <w:rPr>
          <w:rFonts w:ascii="Calibri" w:hAnsi="Calibri" w:cs="Calibri"/>
        </w:rPr>
        <w:t xml:space="preserve">articolo 11, comma 1, </w:t>
      </w:r>
      <w:r w:rsidR="00350D5B">
        <w:rPr>
          <w:rFonts w:ascii="Calibri" w:hAnsi="Calibri" w:cs="Calibri"/>
        </w:rPr>
        <w:t>lettera</w:t>
      </w:r>
      <w:r w:rsidRPr="00D871DE">
        <w:rPr>
          <w:rFonts w:ascii="Calibri" w:hAnsi="Calibri" w:cs="Calibri"/>
        </w:rPr>
        <w:t xml:space="preserve"> a), n. 1, comma 4-</w:t>
      </w:r>
      <w:r w:rsidRPr="00015C81">
        <w:rPr>
          <w:rFonts w:ascii="Calibri" w:hAnsi="Calibri" w:cs="Calibri"/>
          <w:i/>
          <w:iCs/>
        </w:rPr>
        <w:t>bis</w:t>
      </w:r>
      <w:r w:rsidRPr="00D871DE">
        <w:rPr>
          <w:rFonts w:ascii="Calibri" w:hAnsi="Calibri" w:cs="Calibri"/>
        </w:rPr>
        <w:t xml:space="preserve"> e 4-</w:t>
      </w:r>
      <w:r w:rsidRPr="00015C81">
        <w:rPr>
          <w:rFonts w:ascii="Calibri" w:hAnsi="Calibri" w:cs="Calibri"/>
          <w:i/>
          <w:iCs/>
        </w:rPr>
        <w:t>quater</w:t>
      </w:r>
      <w:r w:rsidR="00D57617">
        <w:rPr>
          <w:rFonts w:ascii="Calibri" w:hAnsi="Calibri" w:cs="Calibri"/>
          <w:i/>
          <w:iCs/>
        </w:rPr>
        <w:t xml:space="preserve"> </w:t>
      </w:r>
      <w:r w:rsidR="00D57617">
        <w:rPr>
          <w:rFonts w:ascii="Calibri" w:hAnsi="Calibri" w:cs="Calibri"/>
        </w:rPr>
        <w:t>del “Decreto IRAP”</w:t>
      </w:r>
      <w:r w:rsidRPr="00D871DE">
        <w:rPr>
          <w:rFonts w:ascii="Calibri" w:hAnsi="Calibri" w:cs="Calibri"/>
        </w:rPr>
        <w:t>.</w:t>
      </w:r>
    </w:p>
    <w:p w14:paraId="58662274" w14:textId="59139706" w:rsidR="00D871DE" w:rsidRPr="00D871DE" w:rsidRDefault="00D871DE" w:rsidP="00D871DE">
      <w:pPr>
        <w:spacing w:after="120" w:line="300" w:lineRule="auto"/>
        <w:jc w:val="both"/>
        <w:rPr>
          <w:rFonts w:ascii="Calibri" w:hAnsi="Calibri" w:cs="Calibri"/>
        </w:rPr>
      </w:pPr>
      <w:r w:rsidRPr="00D871DE">
        <w:rPr>
          <w:rFonts w:ascii="Calibri" w:hAnsi="Calibri" w:cs="Calibri"/>
        </w:rPr>
        <w:t xml:space="preserve">Anche in questo caso si ricorda che il divieto di cumulo opera con riferimento </w:t>
      </w:r>
      <w:r w:rsidR="00D57617">
        <w:rPr>
          <w:rFonts w:ascii="Calibri" w:hAnsi="Calibri" w:cs="Calibri"/>
        </w:rPr>
        <w:t>a ciascun</w:t>
      </w:r>
      <w:r w:rsidRPr="00D871DE">
        <w:rPr>
          <w:rFonts w:ascii="Calibri" w:hAnsi="Calibri" w:cs="Calibri"/>
        </w:rPr>
        <w:t xml:space="preserve"> dipendente</w:t>
      </w:r>
      <w:r w:rsidR="00D57617">
        <w:rPr>
          <w:rStyle w:val="Rimandonotaapidipagina"/>
          <w:rFonts w:ascii="Calibri" w:hAnsi="Calibri" w:cs="Calibri"/>
        </w:rPr>
        <w:footnoteReference w:id="22"/>
      </w:r>
      <w:r w:rsidRPr="00D871DE">
        <w:rPr>
          <w:rFonts w:ascii="Calibri" w:hAnsi="Calibri" w:cs="Calibri"/>
        </w:rPr>
        <w:t>. Il criterio dell’alternatività, quindi, vieta di cumulare in relazione allo stesso dipendente le cennate deduzioni, senza per questo impedire scelte differenziate per ciascuno dei dipendenti. Di conseguenza, per massimizzare il vantaggio fiscale è necessario confrontare, in relazione a ciascun dipendente, il beneficio ottenibile applicando le diverse deduzioni fra loro alternative.</w:t>
      </w:r>
    </w:p>
    <w:p w14:paraId="70E7CCCB" w14:textId="30C3E4EB" w:rsidR="00D871DE" w:rsidRDefault="00D871DE" w:rsidP="00D871DE">
      <w:pPr>
        <w:spacing w:after="120" w:line="300" w:lineRule="auto"/>
        <w:jc w:val="both"/>
        <w:rPr>
          <w:rFonts w:ascii="Calibri" w:hAnsi="Calibri" w:cs="Calibri"/>
        </w:rPr>
      </w:pPr>
      <w:r w:rsidRPr="00D871DE">
        <w:rPr>
          <w:rFonts w:ascii="Calibri" w:hAnsi="Calibri" w:cs="Calibri"/>
        </w:rPr>
        <w:t>Infine, il medesimo comma 4-</w:t>
      </w:r>
      <w:r w:rsidRPr="00015C81">
        <w:rPr>
          <w:rFonts w:ascii="Calibri" w:hAnsi="Calibri" w:cs="Calibri"/>
          <w:i/>
          <w:iCs/>
        </w:rPr>
        <w:t>septies</w:t>
      </w:r>
      <w:r w:rsidRPr="00D871DE">
        <w:rPr>
          <w:rFonts w:ascii="Calibri" w:hAnsi="Calibri" w:cs="Calibri"/>
        </w:rPr>
        <w:t xml:space="preserve"> </w:t>
      </w:r>
      <w:r w:rsidR="00D57617">
        <w:rPr>
          <w:rFonts w:ascii="Calibri" w:hAnsi="Calibri" w:cs="Calibri"/>
        </w:rPr>
        <w:t xml:space="preserve">dell’articolo 11 in esame </w:t>
      </w:r>
      <w:r w:rsidRPr="00D871DE">
        <w:rPr>
          <w:rFonts w:ascii="Calibri" w:hAnsi="Calibri" w:cs="Calibri"/>
        </w:rPr>
        <w:t xml:space="preserve">precisa che per </w:t>
      </w:r>
      <w:r w:rsidR="00D57617">
        <w:rPr>
          <w:rFonts w:ascii="Calibri" w:hAnsi="Calibri" w:cs="Calibri"/>
        </w:rPr>
        <w:t>ogni</w:t>
      </w:r>
      <w:r w:rsidRPr="00D871DE">
        <w:rPr>
          <w:rFonts w:ascii="Calibri" w:hAnsi="Calibri" w:cs="Calibri"/>
        </w:rPr>
        <w:t xml:space="preserve"> dipendente l’ammontare della deduzione non può comunque eccedere il limite massimo rappresentato dalla retribuzione e dagli altri oneri e spese a carico del datore di lavoro. Il costo del lavoro rappresenta, pertanto, il limite massimo della deduzione fruibile.</w:t>
      </w:r>
    </w:p>
    <w:p w14:paraId="7B41B694" w14:textId="1E94E70D" w:rsidR="00E77603" w:rsidRPr="00157229" w:rsidRDefault="00AB3ADC" w:rsidP="00E77603">
      <w:pPr>
        <w:pStyle w:val="Titolo2"/>
        <w:numPr>
          <w:ilvl w:val="0"/>
          <w:numId w:val="13"/>
        </w:numPr>
      </w:pPr>
      <w:bookmarkStart w:id="12" w:name="_Toc56777658"/>
      <w:r>
        <w:t>Deduzione per incremento occupazionale (a</w:t>
      </w:r>
      <w:r w:rsidR="00E77603" w:rsidRPr="00BD2A0C">
        <w:t xml:space="preserve">rticolo 11, comma </w:t>
      </w:r>
      <w:r w:rsidR="00E77603">
        <w:t>4-</w:t>
      </w:r>
      <w:r w:rsidR="0056416A">
        <w:rPr>
          <w:i w:val="0"/>
          <w:iCs/>
        </w:rPr>
        <w:t>quater</w:t>
      </w:r>
      <w:r>
        <w:rPr>
          <w:i w:val="0"/>
          <w:iCs/>
        </w:rPr>
        <w:t xml:space="preserve"> </w:t>
      </w:r>
      <w:r>
        <w:t>del “Decreto IRAP”)</w:t>
      </w:r>
      <w:bookmarkEnd w:id="12"/>
    </w:p>
    <w:p w14:paraId="7576FF97" w14:textId="77777777" w:rsidR="00DA25D4" w:rsidRDefault="005F3283" w:rsidP="005F3283">
      <w:pPr>
        <w:spacing w:after="120" w:line="300" w:lineRule="auto"/>
        <w:jc w:val="both"/>
        <w:rPr>
          <w:rFonts w:ascii="Calibri" w:hAnsi="Calibri" w:cs="Calibri"/>
        </w:rPr>
      </w:pPr>
      <w:r w:rsidRPr="005F3283">
        <w:rPr>
          <w:rFonts w:ascii="Calibri" w:hAnsi="Calibri" w:cs="Calibri"/>
        </w:rPr>
        <w:t>La disposizione riconosce una deduzione dalla base imponibile IRAP relativa al costo del lavoro per incremento occupazionale.</w:t>
      </w:r>
    </w:p>
    <w:p w14:paraId="7A6CED39" w14:textId="0731B559" w:rsidR="005F3283" w:rsidRPr="005F3283" w:rsidRDefault="005F3283" w:rsidP="005F3283">
      <w:pPr>
        <w:spacing w:after="120" w:line="300" w:lineRule="auto"/>
        <w:jc w:val="both"/>
        <w:rPr>
          <w:rFonts w:ascii="Calibri" w:hAnsi="Calibri" w:cs="Calibri"/>
        </w:rPr>
      </w:pPr>
      <w:r w:rsidRPr="005F3283">
        <w:rPr>
          <w:rFonts w:ascii="Calibri" w:hAnsi="Calibri" w:cs="Calibri"/>
        </w:rPr>
        <w:lastRenderedPageBreak/>
        <w:t xml:space="preserve">Sotto il profilo soggettivo, possono usufruire della deduzione in esame gli stessi soggetti che possono beneficiare delle deduzioni di cui al comma 1, </w:t>
      </w:r>
      <w:r w:rsidR="00350D5B">
        <w:rPr>
          <w:rFonts w:ascii="Calibri" w:hAnsi="Calibri" w:cs="Calibri"/>
        </w:rPr>
        <w:t>lettera</w:t>
      </w:r>
      <w:r w:rsidRPr="005F3283">
        <w:rPr>
          <w:rFonts w:ascii="Calibri" w:hAnsi="Calibri" w:cs="Calibri"/>
        </w:rPr>
        <w:t xml:space="preserve"> a), nn. 2, 4 e 5 e comma 4-</w:t>
      </w:r>
      <w:r w:rsidRPr="00015C81">
        <w:rPr>
          <w:rFonts w:ascii="Calibri" w:hAnsi="Calibri" w:cs="Calibri"/>
          <w:i/>
          <w:iCs/>
        </w:rPr>
        <w:t>bis</w:t>
      </w:r>
      <w:r w:rsidRPr="005F3283">
        <w:rPr>
          <w:rFonts w:ascii="Calibri" w:hAnsi="Calibri" w:cs="Calibri"/>
        </w:rPr>
        <w:t>.1</w:t>
      </w:r>
      <w:r w:rsidR="00DA25D4">
        <w:rPr>
          <w:rFonts w:ascii="Calibri" w:hAnsi="Calibri" w:cs="Calibri"/>
        </w:rPr>
        <w:t xml:space="preserve"> dell’articolo 11 del “Decreto IRAP”</w:t>
      </w:r>
      <w:r w:rsidRPr="005F3283">
        <w:rPr>
          <w:rFonts w:ascii="Calibri" w:hAnsi="Calibri" w:cs="Calibri"/>
        </w:rPr>
        <w:t xml:space="preserve"> compresi, quindi, gli </w:t>
      </w:r>
      <w:r w:rsidR="00C55FA5">
        <w:rPr>
          <w:rFonts w:ascii="Calibri" w:hAnsi="Calibri" w:cs="Calibri"/>
        </w:rPr>
        <w:t>e</w:t>
      </w:r>
      <w:r w:rsidRPr="005F3283">
        <w:rPr>
          <w:rFonts w:ascii="Calibri" w:hAnsi="Calibri" w:cs="Calibri"/>
        </w:rPr>
        <w:t>nti non commerciali di diritto privato.</w:t>
      </w:r>
    </w:p>
    <w:p w14:paraId="3B836A8F" w14:textId="33E74126" w:rsidR="00DA25D4" w:rsidRDefault="005F3283" w:rsidP="005F3283">
      <w:pPr>
        <w:spacing w:after="120" w:line="300" w:lineRule="auto"/>
        <w:jc w:val="both"/>
        <w:rPr>
          <w:rFonts w:ascii="Calibri" w:hAnsi="Calibri" w:cs="Calibri"/>
        </w:rPr>
      </w:pPr>
      <w:r w:rsidRPr="005F3283">
        <w:rPr>
          <w:rFonts w:ascii="Calibri" w:hAnsi="Calibri" w:cs="Calibri"/>
        </w:rPr>
        <w:t xml:space="preserve">Requisito essenziale per l’esercizio della deduzione è che si verifichi un incrementano del numero di lavoratori dipendenti assunti con contratto a tempo indeterminato, rispetto al periodo d’imposta precedente. Al verificarsi di detta condizione, è deducibile il costo del predetto personale per un importo annuale non superiore a 15.000 euro per ciascun nuovo dipendente assunto e nel limite dell’incremento complessivo del costo del personale classificabile nell’articolo 2425, comma 1, </w:t>
      </w:r>
      <w:r w:rsidR="00350D5B">
        <w:rPr>
          <w:rFonts w:ascii="Calibri" w:hAnsi="Calibri" w:cs="Calibri"/>
        </w:rPr>
        <w:t>lettera</w:t>
      </w:r>
      <w:r w:rsidRPr="005F3283">
        <w:rPr>
          <w:rFonts w:ascii="Calibri" w:hAnsi="Calibri" w:cs="Calibri"/>
        </w:rPr>
        <w:t xml:space="preserve"> b), numeri 9 e 14, del codice civile.</w:t>
      </w:r>
    </w:p>
    <w:p w14:paraId="3FD5A5DC" w14:textId="034884A9" w:rsidR="005F3283" w:rsidRPr="005F3283" w:rsidRDefault="005F3283" w:rsidP="005F3283">
      <w:pPr>
        <w:spacing w:after="120" w:line="300" w:lineRule="auto"/>
        <w:jc w:val="both"/>
        <w:rPr>
          <w:rFonts w:ascii="Calibri" w:hAnsi="Calibri" w:cs="Calibri"/>
        </w:rPr>
      </w:pPr>
      <w:r w:rsidRPr="005F3283">
        <w:rPr>
          <w:rFonts w:ascii="Calibri" w:hAnsi="Calibri" w:cs="Calibri"/>
        </w:rPr>
        <w:t>Nel caso in cui il dipendente venga assunto in corso d’anno, il limite entro il quale è possibile fruire dell’agevolazione va ragguagliato ad anno. Similmente, in caso di periodo d’imposta superiore o inferiore a 12 mesi, l’importo fissato come limite annualmente deducibile deve essere rapportato all’effettiva durata del periodo d’imposta</w:t>
      </w:r>
      <w:r w:rsidR="00DA25D4">
        <w:rPr>
          <w:rStyle w:val="Rimandonotaapidipagina"/>
          <w:rFonts w:ascii="Calibri" w:hAnsi="Calibri" w:cs="Calibri"/>
        </w:rPr>
        <w:footnoteReference w:id="23"/>
      </w:r>
      <w:r w:rsidRPr="005F3283">
        <w:rPr>
          <w:rFonts w:ascii="Calibri" w:hAnsi="Calibri" w:cs="Calibri"/>
        </w:rPr>
        <w:t>.</w:t>
      </w:r>
    </w:p>
    <w:p w14:paraId="3BDED2FA" w14:textId="67B489FE" w:rsidR="005F3283" w:rsidRPr="005F3283" w:rsidRDefault="005F3283" w:rsidP="005F3283">
      <w:pPr>
        <w:spacing w:after="120" w:line="300" w:lineRule="auto"/>
        <w:jc w:val="both"/>
        <w:rPr>
          <w:rFonts w:ascii="Calibri" w:hAnsi="Calibri" w:cs="Calibri"/>
        </w:rPr>
      </w:pPr>
      <w:r w:rsidRPr="005F3283">
        <w:rPr>
          <w:rFonts w:ascii="Calibri" w:hAnsi="Calibri" w:cs="Calibri"/>
        </w:rPr>
        <w:t>Si può fruire della deduzione per il periodo d’imposta in cui è avvenuta l’assunzione con contratto a tempo indeterminato e per i due successivi. La deduzione spettante compete per ciascun periodo d’imposta a partire da quello di assunzione, sempre che permanga il medesimo rapporto di impiego. La deduzione, inoltre, decade se, nei periodi d’imposta successivi a quello in cui è avvenuta</w:t>
      </w:r>
      <w:r w:rsidRPr="005F3283">
        <w:t xml:space="preserve"> </w:t>
      </w:r>
      <w:r w:rsidRPr="005F3283">
        <w:rPr>
          <w:rFonts w:ascii="Calibri" w:hAnsi="Calibri" w:cs="Calibri"/>
        </w:rPr>
        <w:t>l’assunzione, il numero dei lavoratori dipendenti risulta inferiore o pari al numero degli stessi lavoratori mediamente occupati in tale periodo d’imposta.</w:t>
      </w:r>
    </w:p>
    <w:p w14:paraId="6E508D65" w14:textId="77777777" w:rsidR="005F3283" w:rsidRPr="005F3283" w:rsidRDefault="005F3283" w:rsidP="005F3283">
      <w:pPr>
        <w:spacing w:after="120" w:line="300" w:lineRule="auto"/>
        <w:jc w:val="both"/>
        <w:rPr>
          <w:rFonts w:ascii="Calibri" w:hAnsi="Calibri" w:cs="Calibri"/>
        </w:rPr>
      </w:pPr>
      <w:r w:rsidRPr="005F3283">
        <w:rPr>
          <w:rFonts w:ascii="Calibri" w:hAnsi="Calibri" w:cs="Calibri"/>
        </w:rPr>
        <w:t xml:space="preserve">L’incremento della base occupazionale va considerato al netto delle diminuzioni occupazionali verificatesi in società controllate o collegate (ai sensi dell’articolo 2359 del codice civile) o facenti capo, anche per interposta persona, allo stesso soggetto. </w:t>
      </w:r>
    </w:p>
    <w:p w14:paraId="1A5D77C8" w14:textId="1057B7CC" w:rsidR="00D871DE" w:rsidRDefault="005F3283" w:rsidP="00D36947">
      <w:pPr>
        <w:spacing w:after="240" w:line="300" w:lineRule="auto"/>
        <w:jc w:val="both"/>
        <w:rPr>
          <w:rFonts w:ascii="Calibri" w:hAnsi="Calibri" w:cs="Calibri"/>
        </w:rPr>
      </w:pPr>
      <w:r w:rsidRPr="005F3283">
        <w:rPr>
          <w:rFonts w:ascii="Calibri" w:hAnsi="Calibri" w:cs="Calibri"/>
        </w:rPr>
        <w:t xml:space="preserve">Per gli </w:t>
      </w:r>
      <w:r w:rsidR="00C55FA5">
        <w:rPr>
          <w:rFonts w:ascii="Calibri" w:hAnsi="Calibri" w:cs="Calibri"/>
        </w:rPr>
        <w:t>e</w:t>
      </w:r>
      <w:r w:rsidRPr="005F3283">
        <w:rPr>
          <w:rFonts w:ascii="Calibri" w:hAnsi="Calibri" w:cs="Calibri"/>
        </w:rPr>
        <w:t>nti non commerciali, la base occupazionale è individuata con riferimento al personale dipendente con contratto di lavoro a tempo indeterminato impiegato nell’attività commerciale e la deduzione spetta solo con riferimento all’incremento dei lavoratori utilizzati nell’esercizio di tale attività. In caso di lavoratori impiegati sia nell’attività istituzionale che in quella commerciale, nel calcolo dell’incremento del numero dei lavoratori nonché nella verifica della clausola di decadenza detti lavoratori devono essere conteggiati per intero</w:t>
      </w:r>
      <w:r w:rsidR="007F20B9">
        <w:rPr>
          <w:rStyle w:val="Rimandonotaapidipagina"/>
          <w:rFonts w:ascii="Calibri" w:hAnsi="Calibri" w:cs="Calibri"/>
        </w:rPr>
        <w:footnoteReference w:id="24"/>
      </w:r>
      <w:r w:rsidRPr="005F3283">
        <w:rPr>
          <w:rFonts w:ascii="Calibri" w:hAnsi="Calibri" w:cs="Calibri"/>
        </w:rPr>
        <w:t>. Viceversa, ai fini della deducibilità del costo, il solo personale riferibile all’attività commerciale individuato in base al seguente rapporto:</w:t>
      </w:r>
    </w:p>
    <w:p w14:paraId="6568B31D" w14:textId="77777777" w:rsidR="000C0F64" w:rsidRPr="007F20B9" w:rsidRDefault="000C0F64" w:rsidP="000C0F64">
      <w:pPr>
        <w:spacing w:after="0" w:line="120" w:lineRule="atLeast"/>
        <w:jc w:val="center"/>
        <w:rPr>
          <w:rFonts w:cstheme="minorHAnsi"/>
          <w:sz w:val="16"/>
          <w:szCs w:val="16"/>
        </w:rPr>
      </w:pPr>
      <w:r w:rsidRPr="007F20B9">
        <w:rPr>
          <w:rFonts w:cstheme="minorHAnsi"/>
          <w:sz w:val="16"/>
          <w:szCs w:val="16"/>
        </w:rPr>
        <w:t>Ammontare dei ricavi e degli altri proventi relativi all’attività istituzionale (rilevanti ai fini IRAP)</w:t>
      </w:r>
    </w:p>
    <w:p w14:paraId="7CAC4A14" w14:textId="77777777" w:rsidR="000C0F64" w:rsidRPr="007F20B9" w:rsidRDefault="000C0F64" w:rsidP="00D36947">
      <w:pPr>
        <w:spacing w:after="0" w:line="120" w:lineRule="exact"/>
        <w:jc w:val="center"/>
        <w:rPr>
          <w:rFonts w:cstheme="minorHAnsi"/>
          <w:sz w:val="16"/>
          <w:szCs w:val="16"/>
        </w:rPr>
      </w:pPr>
      <w:r w:rsidRPr="007F20B9">
        <w:rPr>
          <w:rFonts w:cstheme="minorHAnsi"/>
          <w:sz w:val="16"/>
          <w:szCs w:val="16"/>
        </w:rPr>
        <w:t>_____________________________________________________________________________</w:t>
      </w:r>
    </w:p>
    <w:p w14:paraId="78A2ECB4" w14:textId="77777777" w:rsidR="000C0F64" w:rsidRPr="007F20B9" w:rsidRDefault="000C0F64" w:rsidP="000C0F64">
      <w:pPr>
        <w:spacing w:after="120" w:line="240" w:lineRule="exact"/>
        <w:jc w:val="center"/>
        <w:rPr>
          <w:rFonts w:cstheme="minorHAnsi"/>
          <w:sz w:val="16"/>
          <w:szCs w:val="16"/>
        </w:rPr>
      </w:pPr>
      <w:r w:rsidRPr="007F20B9">
        <w:rPr>
          <w:rFonts w:cstheme="minorHAnsi"/>
          <w:sz w:val="16"/>
          <w:szCs w:val="16"/>
        </w:rPr>
        <w:t>ammontare complessivo di tutti i ricavi e proventi</w:t>
      </w:r>
    </w:p>
    <w:p w14:paraId="085823A1" w14:textId="77777777" w:rsidR="007F20B9" w:rsidRDefault="000C0F64" w:rsidP="00D36947">
      <w:pPr>
        <w:spacing w:before="240" w:after="120" w:line="300" w:lineRule="auto"/>
        <w:jc w:val="both"/>
        <w:rPr>
          <w:rFonts w:ascii="Calibri" w:hAnsi="Calibri" w:cs="Calibri"/>
        </w:rPr>
      </w:pPr>
      <w:r w:rsidRPr="000C0F64">
        <w:rPr>
          <w:rFonts w:ascii="Calibri" w:hAnsi="Calibri" w:cs="Calibri"/>
        </w:rPr>
        <w:t>Non rilevano ai fini degli incrementi occupazionali i trasferimenti di dipendenti dall’attività istituzionale all’attività commerciale.</w:t>
      </w:r>
    </w:p>
    <w:p w14:paraId="7C6281CA" w14:textId="77E5A176" w:rsidR="000C0F64" w:rsidRPr="000C0F64" w:rsidRDefault="000C0F64" w:rsidP="000C0F64">
      <w:pPr>
        <w:spacing w:after="120" w:line="300" w:lineRule="auto"/>
        <w:jc w:val="both"/>
        <w:rPr>
          <w:rFonts w:ascii="Calibri" w:hAnsi="Calibri" w:cs="Calibri"/>
        </w:rPr>
      </w:pPr>
      <w:r w:rsidRPr="000C0F64">
        <w:rPr>
          <w:rFonts w:ascii="Calibri" w:hAnsi="Calibri" w:cs="Calibri"/>
        </w:rPr>
        <w:lastRenderedPageBreak/>
        <w:t>Inoltre, nell’ipotesi di imprese di nuova costituzione non rilevano gli incrementi occupazionali derivanti dallo svolgimento di attività che assorbono anche solo in parte attività di imprese giuridicamente preesistenti, ad esclusione delle attività sottoposte a limite numerico o di superficie. Nel caso di impresa subentrante ad altra nella gestione di un servizio pubblico, anche gestito da privati, comunque assegnata, la deducibilità del costo del personale spetta limitatamente al numero di lavoratori assunti in più rispetto a quello dell’impresa sostituita</w:t>
      </w:r>
      <w:r w:rsidR="007F20B9">
        <w:rPr>
          <w:rStyle w:val="Rimandonotaapidipagina"/>
          <w:rFonts w:ascii="Calibri" w:hAnsi="Calibri" w:cs="Calibri"/>
        </w:rPr>
        <w:footnoteReference w:id="25"/>
      </w:r>
      <w:r w:rsidRPr="000C0F64">
        <w:rPr>
          <w:rFonts w:ascii="Calibri" w:hAnsi="Calibri" w:cs="Calibri"/>
        </w:rPr>
        <w:t>.</w:t>
      </w:r>
    </w:p>
    <w:p w14:paraId="6A1A23A2" w14:textId="2B49DCAB" w:rsidR="000C0F64" w:rsidRPr="000C0F64" w:rsidRDefault="000C0F64" w:rsidP="000C0F64">
      <w:pPr>
        <w:spacing w:after="120" w:line="300" w:lineRule="auto"/>
        <w:jc w:val="both"/>
        <w:rPr>
          <w:rFonts w:ascii="Calibri" w:hAnsi="Calibri" w:cs="Calibri"/>
        </w:rPr>
      </w:pPr>
      <w:r w:rsidRPr="000C0F64">
        <w:rPr>
          <w:rFonts w:ascii="Calibri" w:hAnsi="Calibri" w:cs="Calibri"/>
        </w:rPr>
        <w:t xml:space="preserve">La presente deduzione non è alternativa e può essere cumulata alle altre deduzioni previste dall’articolo 11 in esame. In proposito, tuttavia, </w:t>
      </w:r>
      <w:r w:rsidR="007F20B9">
        <w:rPr>
          <w:rFonts w:ascii="Calibri" w:hAnsi="Calibri" w:cs="Calibri"/>
        </w:rPr>
        <w:t>tenuto conto del fatto che</w:t>
      </w:r>
      <w:r w:rsidRPr="000C0F64">
        <w:rPr>
          <w:rFonts w:ascii="Calibri" w:hAnsi="Calibri" w:cs="Calibri"/>
        </w:rPr>
        <w:t xml:space="preserve"> in nessun caso la deduzione può eccedere il costo sostenuto</w:t>
      </w:r>
      <w:r w:rsidR="007F20B9">
        <w:rPr>
          <w:rFonts w:ascii="Calibri" w:hAnsi="Calibri" w:cs="Calibri"/>
        </w:rPr>
        <w:t>,</w:t>
      </w:r>
      <w:r w:rsidRPr="000C0F64">
        <w:rPr>
          <w:rFonts w:ascii="Calibri" w:hAnsi="Calibri" w:cs="Calibri"/>
        </w:rPr>
        <w:t xml:space="preserve"> </w:t>
      </w:r>
      <w:r w:rsidR="007F20B9">
        <w:rPr>
          <w:rFonts w:ascii="Calibri" w:hAnsi="Calibri" w:cs="Calibri"/>
        </w:rPr>
        <w:t>qualora</w:t>
      </w:r>
      <w:r w:rsidRPr="000C0F64">
        <w:rPr>
          <w:rFonts w:ascii="Calibri" w:hAnsi="Calibri" w:cs="Calibri"/>
        </w:rPr>
        <w:t xml:space="preserve"> i lavoratori neo-assunti </w:t>
      </w:r>
      <w:r w:rsidR="007F20B9">
        <w:rPr>
          <w:rFonts w:ascii="Calibri" w:hAnsi="Calibri" w:cs="Calibri"/>
        </w:rPr>
        <w:t>siano</w:t>
      </w:r>
      <w:r w:rsidRPr="000C0F64">
        <w:rPr>
          <w:rFonts w:ascii="Calibri" w:hAnsi="Calibri" w:cs="Calibri"/>
        </w:rPr>
        <w:t xml:space="preserve"> addetti all’attività di ricerca e sviluppo, non sarà possibile beneficiare della deduzione in esame se il costo del lavoratore neo-assunto è già stato integralmente dedotto dalla base imponibile IRAP ai sensi di quanto disposto dall’articolo 11, comma 1, </w:t>
      </w:r>
      <w:r w:rsidR="00350D5B">
        <w:rPr>
          <w:rFonts w:ascii="Calibri" w:hAnsi="Calibri" w:cs="Calibri"/>
        </w:rPr>
        <w:t>lettera</w:t>
      </w:r>
      <w:r w:rsidRPr="000C0F64">
        <w:rPr>
          <w:rFonts w:ascii="Calibri" w:hAnsi="Calibri" w:cs="Calibri"/>
        </w:rPr>
        <w:t xml:space="preserve"> a), n. 5</w:t>
      </w:r>
      <w:r w:rsidR="00015C81">
        <w:rPr>
          <w:rFonts w:ascii="Calibri" w:hAnsi="Calibri" w:cs="Calibri"/>
        </w:rPr>
        <w:t>, del “Decreto IRAP”</w:t>
      </w:r>
      <w:r w:rsidR="007F20B9">
        <w:rPr>
          <w:rStyle w:val="Rimandonotaapidipagina"/>
          <w:rFonts w:ascii="Calibri" w:hAnsi="Calibri" w:cs="Calibri"/>
        </w:rPr>
        <w:footnoteReference w:id="26"/>
      </w:r>
      <w:r w:rsidRPr="000C0F64">
        <w:rPr>
          <w:rFonts w:ascii="Calibri" w:hAnsi="Calibri" w:cs="Calibri"/>
        </w:rPr>
        <w:t>.</w:t>
      </w:r>
      <w:r w:rsidR="001B7915">
        <w:rPr>
          <w:rFonts w:ascii="Calibri" w:hAnsi="Calibri" w:cs="Calibri"/>
        </w:rPr>
        <w:t xml:space="preserve"> </w:t>
      </w:r>
      <w:r w:rsidRPr="000C0F64">
        <w:rPr>
          <w:rFonts w:ascii="Calibri" w:hAnsi="Calibri" w:cs="Calibri"/>
        </w:rPr>
        <w:t>Viceversa, qualora il datore di lavoro abbia scelto di beneficiare della deduzione per i lavoratori addetti all’attività di ricerca e sviluppo e non abbia potuto beneficiarne per l’intero costo sostenuto in relazione al lavoratore, la parte eccedente di detto costo può essere portata in deduzione ai sensi della presente disposizione.</w:t>
      </w:r>
    </w:p>
    <w:p w14:paraId="506B4614" w14:textId="7044249A" w:rsidR="00D871DE" w:rsidRDefault="000C0F64" w:rsidP="000C0F64">
      <w:pPr>
        <w:spacing w:after="120" w:line="300" w:lineRule="auto"/>
        <w:jc w:val="both"/>
        <w:rPr>
          <w:rFonts w:ascii="Calibri" w:hAnsi="Calibri" w:cs="Calibri"/>
        </w:rPr>
      </w:pPr>
      <w:r w:rsidRPr="000C0F64">
        <w:rPr>
          <w:rFonts w:ascii="Calibri" w:hAnsi="Calibri" w:cs="Calibri"/>
        </w:rPr>
        <w:t>Infine, il comma 4-</w:t>
      </w:r>
      <w:r w:rsidRPr="001B7915">
        <w:rPr>
          <w:rFonts w:ascii="Calibri" w:hAnsi="Calibri" w:cs="Calibri"/>
          <w:i/>
          <w:iCs/>
        </w:rPr>
        <w:t>septies</w:t>
      </w:r>
      <w:r w:rsidRPr="000C0F64">
        <w:rPr>
          <w:rFonts w:ascii="Calibri" w:hAnsi="Calibri" w:cs="Calibri"/>
        </w:rPr>
        <w:t xml:space="preserve"> dell’articolo 11</w:t>
      </w:r>
      <w:r w:rsidR="001B7915">
        <w:rPr>
          <w:rFonts w:ascii="Calibri" w:hAnsi="Calibri" w:cs="Calibri"/>
        </w:rPr>
        <w:t xml:space="preserve"> del “Decreto IRAP”</w:t>
      </w:r>
      <w:r w:rsidRPr="000C0F64">
        <w:rPr>
          <w:rFonts w:ascii="Calibri" w:hAnsi="Calibri" w:cs="Calibri"/>
        </w:rPr>
        <w:t xml:space="preserve"> in commento precisa che per ciascun dipendente l’ammontare della deduzione non può comunque eccedere il limite massimo rappresentato dalla retribuzione e dagli altri oneri e spese a carico del datore di lavoro. Il costo del lavoro rappresenta, pertanto, il limite massimo della deduzione fruibile.</w:t>
      </w:r>
    </w:p>
    <w:p w14:paraId="33CD48B1" w14:textId="27FD8862" w:rsidR="00B9062A" w:rsidRPr="00157229" w:rsidRDefault="00B9062A" w:rsidP="00B9062A">
      <w:pPr>
        <w:pStyle w:val="Titolo2"/>
        <w:numPr>
          <w:ilvl w:val="0"/>
          <w:numId w:val="13"/>
        </w:numPr>
      </w:pPr>
      <w:bookmarkStart w:id="13" w:name="_Toc56777659"/>
      <w:r>
        <w:t>Deduzione del costo eccedente dei lavoratori a tempo indeterminato (a</w:t>
      </w:r>
      <w:r w:rsidRPr="00BD2A0C">
        <w:t xml:space="preserve">rticolo 11, comma </w:t>
      </w:r>
      <w:r>
        <w:t>4-</w:t>
      </w:r>
      <w:r>
        <w:rPr>
          <w:i w:val="0"/>
          <w:iCs/>
        </w:rPr>
        <w:t xml:space="preserve">octies </w:t>
      </w:r>
      <w:r>
        <w:t>del “Decreto IRAP”)</w:t>
      </w:r>
      <w:bookmarkEnd w:id="13"/>
    </w:p>
    <w:p w14:paraId="04C82358" w14:textId="26BB859B" w:rsidR="009C0AD4" w:rsidRDefault="00B9062A" w:rsidP="00390946">
      <w:pPr>
        <w:spacing w:after="120" w:line="300" w:lineRule="auto"/>
        <w:jc w:val="both"/>
        <w:rPr>
          <w:rFonts w:ascii="Calibri" w:hAnsi="Calibri" w:cs="Calibri"/>
        </w:rPr>
      </w:pPr>
      <w:r w:rsidRPr="005F3283">
        <w:rPr>
          <w:rFonts w:ascii="Calibri" w:hAnsi="Calibri" w:cs="Calibri"/>
        </w:rPr>
        <w:t xml:space="preserve">La disposizione riconosce una deduzione dalla base imponibile IRAP </w:t>
      </w:r>
      <w:r w:rsidR="005B4CA7">
        <w:rPr>
          <w:rFonts w:ascii="Calibri" w:hAnsi="Calibri" w:cs="Calibri"/>
        </w:rPr>
        <w:t xml:space="preserve">pari alla differenza </w:t>
      </w:r>
      <w:r w:rsidR="005B4CA7" w:rsidRPr="005B4CA7">
        <w:rPr>
          <w:rFonts w:ascii="Calibri" w:hAnsi="Calibri" w:cs="Calibri"/>
        </w:rPr>
        <w:t>tra il costo complessivo per il personale dipendente</w:t>
      </w:r>
      <w:r w:rsidR="005B4CA7">
        <w:rPr>
          <w:rFonts w:ascii="Calibri" w:hAnsi="Calibri" w:cs="Calibri"/>
        </w:rPr>
        <w:t xml:space="preserve"> </w:t>
      </w:r>
      <w:r w:rsidR="005B4CA7" w:rsidRPr="005B4CA7">
        <w:rPr>
          <w:rFonts w:ascii="Calibri" w:hAnsi="Calibri" w:cs="Calibri"/>
        </w:rPr>
        <w:t>con contratto a tempo indeterminato e le deduzioni spettanti ai sensi dei</w:t>
      </w:r>
      <w:r w:rsidR="005B4CA7">
        <w:rPr>
          <w:rFonts w:ascii="Calibri" w:hAnsi="Calibri" w:cs="Calibri"/>
        </w:rPr>
        <w:t xml:space="preserve"> </w:t>
      </w:r>
      <w:r w:rsidR="005B4CA7" w:rsidRPr="005B4CA7">
        <w:rPr>
          <w:rFonts w:ascii="Calibri" w:hAnsi="Calibri" w:cs="Calibri"/>
        </w:rPr>
        <w:t>co</w:t>
      </w:r>
      <w:r w:rsidR="00FD07BD">
        <w:rPr>
          <w:rFonts w:ascii="Calibri" w:hAnsi="Calibri" w:cs="Calibri"/>
        </w:rPr>
        <w:t>mmi</w:t>
      </w:r>
      <w:r w:rsidR="005B4CA7" w:rsidRPr="005B4CA7">
        <w:rPr>
          <w:rFonts w:ascii="Calibri" w:hAnsi="Calibri" w:cs="Calibri"/>
        </w:rPr>
        <w:t xml:space="preserve"> 1, lettera a), 1-</w:t>
      </w:r>
      <w:r w:rsidR="005B4CA7" w:rsidRPr="005B4CA7">
        <w:rPr>
          <w:rFonts w:ascii="Calibri" w:hAnsi="Calibri" w:cs="Calibri"/>
          <w:i/>
          <w:iCs/>
        </w:rPr>
        <w:t>bis</w:t>
      </w:r>
      <w:r w:rsidR="005B4CA7" w:rsidRPr="005B4CA7">
        <w:rPr>
          <w:rFonts w:ascii="Calibri" w:hAnsi="Calibri" w:cs="Calibri"/>
        </w:rPr>
        <w:t>)</w:t>
      </w:r>
      <w:r w:rsidR="005B4CA7">
        <w:rPr>
          <w:rFonts w:ascii="Calibri" w:hAnsi="Calibri" w:cs="Calibri"/>
        </w:rPr>
        <w:t>,</w:t>
      </w:r>
      <w:r w:rsidR="005B4CA7" w:rsidRPr="005B4CA7">
        <w:rPr>
          <w:rFonts w:ascii="Calibri" w:hAnsi="Calibri" w:cs="Calibri"/>
        </w:rPr>
        <w:t xml:space="preserve"> 4-</w:t>
      </w:r>
      <w:r w:rsidR="005B4CA7" w:rsidRPr="005B4CA7">
        <w:rPr>
          <w:rFonts w:ascii="Calibri" w:hAnsi="Calibri" w:cs="Calibri"/>
          <w:i/>
          <w:iCs/>
        </w:rPr>
        <w:t>bis</w:t>
      </w:r>
      <w:r w:rsidR="005B4CA7" w:rsidRPr="005B4CA7">
        <w:rPr>
          <w:rFonts w:ascii="Calibri" w:hAnsi="Calibri" w:cs="Calibri"/>
        </w:rPr>
        <w:t>.1 e 4-</w:t>
      </w:r>
      <w:r w:rsidR="005B4CA7" w:rsidRPr="005B4CA7">
        <w:rPr>
          <w:rFonts w:ascii="Calibri" w:hAnsi="Calibri" w:cs="Calibri"/>
          <w:i/>
          <w:iCs/>
        </w:rPr>
        <w:t>quater</w:t>
      </w:r>
      <w:r w:rsidR="005B4CA7" w:rsidRPr="005B4CA7">
        <w:rPr>
          <w:rFonts w:ascii="Calibri" w:hAnsi="Calibri" w:cs="Calibri"/>
        </w:rPr>
        <w:t xml:space="preserve"> del</w:t>
      </w:r>
      <w:r w:rsidR="005B4CA7">
        <w:rPr>
          <w:rFonts w:ascii="Calibri" w:hAnsi="Calibri" w:cs="Calibri"/>
        </w:rPr>
        <w:t>l’articolo 11 del “Decreto IRAP”</w:t>
      </w:r>
      <w:r w:rsidR="005B4CA7">
        <w:rPr>
          <w:rStyle w:val="Rimandonotaapidipagina"/>
          <w:rFonts w:ascii="Calibri" w:hAnsi="Calibri" w:cs="Calibri"/>
        </w:rPr>
        <w:footnoteReference w:id="27"/>
      </w:r>
      <w:r w:rsidR="005B4CA7">
        <w:rPr>
          <w:rFonts w:ascii="Calibri" w:hAnsi="Calibri" w:cs="Calibri"/>
        </w:rPr>
        <w:t>.</w:t>
      </w:r>
      <w:r w:rsidR="00390946">
        <w:rPr>
          <w:rFonts w:ascii="Calibri" w:hAnsi="Calibri" w:cs="Calibri"/>
        </w:rPr>
        <w:t xml:space="preserve"> Requisito fondamentale per fruire della deduzione è, in primo luogo, l’esistenza di un contratto di lavoro a tempo indeterminato fra l’impresa e il lavoratore</w:t>
      </w:r>
      <w:r w:rsidR="00F9569A">
        <w:rPr>
          <w:rFonts w:ascii="Calibri" w:hAnsi="Calibri" w:cs="Calibri"/>
        </w:rPr>
        <w:t>, restano quindi esclusi i contratti di lavoro a tempo determinato</w:t>
      </w:r>
      <w:r w:rsidR="00F9569A">
        <w:rPr>
          <w:rStyle w:val="Rimandonotaapidipagina"/>
          <w:rFonts w:ascii="Calibri" w:hAnsi="Calibri" w:cs="Calibri"/>
        </w:rPr>
        <w:footnoteReference w:id="28"/>
      </w:r>
      <w:r w:rsidR="00390946">
        <w:rPr>
          <w:rFonts w:ascii="Calibri" w:hAnsi="Calibri" w:cs="Calibri"/>
        </w:rPr>
        <w:t>.</w:t>
      </w:r>
    </w:p>
    <w:p w14:paraId="6D2042D7" w14:textId="54ECF1E3" w:rsidR="009C0AD4" w:rsidRDefault="009C0AD4" w:rsidP="009C0AD4">
      <w:pPr>
        <w:spacing w:after="120" w:line="300" w:lineRule="auto"/>
        <w:jc w:val="both"/>
        <w:rPr>
          <w:rFonts w:ascii="Calibri" w:hAnsi="Calibri" w:cs="Calibri"/>
        </w:rPr>
      </w:pPr>
      <w:r>
        <w:rPr>
          <w:rFonts w:ascii="Calibri" w:hAnsi="Calibri" w:cs="Calibri"/>
        </w:rPr>
        <w:t>I</w:t>
      </w:r>
      <w:r w:rsidR="00390946" w:rsidRPr="00390946">
        <w:rPr>
          <w:rFonts w:ascii="Calibri" w:hAnsi="Calibri" w:cs="Calibri"/>
        </w:rPr>
        <w:t xml:space="preserve">n </w:t>
      </w:r>
      <w:r w:rsidR="00390946">
        <w:rPr>
          <w:rFonts w:ascii="Calibri" w:hAnsi="Calibri" w:cs="Calibri"/>
        </w:rPr>
        <w:t>ipotesi di</w:t>
      </w:r>
      <w:r w:rsidR="00390946" w:rsidRPr="00390946">
        <w:rPr>
          <w:rFonts w:ascii="Calibri" w:hAnsi="Calibri" w:cs="Calibri"/>
        </w:rPr>
        <w:t xml:space="preserve"> distacco di personale, sono deducibili dalla base imponibile IRAP dell’impresa</w:t>
      </w:r>
      <w:r w:rsidR="00390946">
        <w:rPr>
          <w:rFonts w:ascii="Calibri" w:hAnsi="Calibri" w:cs="Calibri"/>
        </w:rPr>
        <w:t xml:space="preserve"> </w:t>
      </w:r>
      <w:r w:rsidR="00390946" w:rsidRPr="00390946">
        <w:rPr>
          <w:rFonts w:ascii="Calibri" w:hAnsi="Calibri" w:cs="Calibri"/>
        </w:rPr>
        <w:t>distaccante i costi sostenuti in relazione al personale dipendente distaccato impiegato con contratto</w:t>
      </w:r>
      <w:r w:rsidR="00390946">
        <w:rPr>
          <w:rFonts w:ascii="Calibri" w:hAnsi="Calibri" w:cs="Calibri"/>
        </w:rPr>
        <w:t xml:space="preserve"> </w:t>
      </w:r>
      <w:r w:rsidR="00390946" w:rsidRPr="00390946">
        <w:rPr>
          <w:rFonts w:ascii="Calibri" w:hAnsi="Calibri" w:cs="Calibri"/>
        </w:rPr>
        <w:t>di lavoro a tempo indeterminato, con conseguente rilevanza degli importi spettanti, a titolo di</w:t>
      </w:r>
      <w:r w:rsidR="00390946">
        <w:rPr>
          <w:rFonts w:ascii="Calibri" w:hAnsi="Calibri" w:cs="Calibri"/>
        </w:rPr>
        <w:t xml:space="preserve"> </w:t>
      </w:r>
      <w:r w:rsidR="00390946" w:rsidRPr="00390946">
        <w:rPr>
          <w:rFonts w:ascii="Calibri" w:hAnsi="Calibri" w:cs="Calibri"/>
        </w:rPr>
        <w:t xml:space="preserve">rimborso, delle </w:t>
      </w:r>
      <w:r w:rsidR="00390946" w:rsidRPr="00390946">
        <w:rPr>
          <w:rFonts w:ascii="Calibri" w:hAnsi="Calibri" w:cs="Calibri"/>
        </w:rPr>
        <w:lastRenderedPageBreak/>
        <w:t>spese afferenti al medesimo personale</w:t>
      </w:r>
      <w:r w:rsidR="00390946">
        <w:rPr>
          <w:rStyle w:val="Rimandonotaapidipagina"/>
          <w:rFonts w:ascii="Calibri" w:hAnsi="Calibri" w:cs="Calibri"/>
        </w:rPr>
        <w:footnoteReference w:id="29"/>
      </w:r>
      <w:r w:rsidR="00390946" w:rsidRPr="00390946">
        <w:rPr>
          <w:rFonts w:ascii="Calibri" w:hAnsi="Calibri" w:cs="Calibri"/>
        </w:rPr>
        <w:t>.</w:t>
      </w:r>
      <w:r>
        <w:rPr>
          <w:rFonts w:ascii="Calibri" w:hAnsi="Calibri" w:cs="Calibri"/>
        </w:rPr>
        <w:t xml:space="preserve"> </w:t>
      </w:r>
      <w:r w:rsidRPr="009C0AD4">
        <w:rPr>
          <w:rFonts w:ascii="Calibri" w:hAnsi="Calibri" w:cs="Calibri"/>
        </w:rPr>
        <w:t>La deduzione è ammessa, nei limiti del 70%, anche a fronte dell’impiego di</w:t>
      </w:r>
      <w:r>
        <w:rPr>
          <w:rFonts w:ascii="Calibri" w:hAnsi="Calibri" w:cs="Calibri"/>
        </w:rPr>
        <w:t xml:space="preserve"> </w:t>
      </w:r>
      <w:r w:rsidRPr="009C0AD4">
        <w:rPr>
          <w:rFonts w:ascii="Calibri" w:hAnsi="Calibri" w:cs="Calibri"/>
        </w:rPr>
        <w:t>personale stagionale ed è calcolata per ogni lavoratore stagionale impiegato per almeno 120 giorni</w:t>
      </w:r>
      <w:r>
        <w:rPr>
          <w:rFonts w:ascii="Calibri" w:hAnsi="Calibri" w:cs="Calibri"/>
        </w:rPr>
        <w:t xml:space="preserve"> </w:t>
      </w:r>
      <w:r w:rsidRPr="009C0AD4">
        <w:rPr>
          <w:rFonts w:ascii="Calibri" w:hAnsi="Calibri" w:cs="Calibri"/>
        </w:rPr>
        <w:t>per due periodi d</w:t>
      </w:r>
      <w:r>
        <w:rPr>
          <w:rFonts w:ascii="Calibri" w:hAnsi="Calibri" w:cs="Calibri"/>
        </w:rPr>
        <w:t>’</w:t>
      </w:r>
      <w:r w:rsidRPr="009C0AD4">
        <w:rPr>
          <w:rFonts w:ascii="Calibri" w:hAnsi="Calibri" w:cs="Calibri"/>
        </w:rPr>
        <w:t>imposta. La deduzione spetta a decorrere dal secondo contratto stipulato con lo</w:t>
      </w:r>
      <w:r>
        <w:rPr>
          <w:rFonts w:ascii="Calibri" w:hAnsi="Calibri" w:cs="Calibri"/>
        </w:rPr>
        <w:t xml:space="preserve"> </w:t>
      </w:r>
      <w:r w:rsidRPr="009C0AD4">
        <w:rPr>
          <w:rFonts w:ascii="Calibri" w:hAnsi="Calibri" w:cs="Calibri"/>
        </w:rPr>
        <w:t>stesso datore di lavoro nell</w:t>
      </w:r>
      <w:r>
        <w:rPr>
          <w:rFonts w:ascii="Calibri" w:hAnsi="Calibri" w:cs="Calibri"/>
        </w:rPr>
        <w:t>’</w:t>
      </w:r>
      <w:r w:rsidRPr="009C0AD4">
        <w:rPr>
          <w:rFonts w:ascii="Calibri" w:hAnsi="Calibri" w:cs="Calibri"/>
        </w:rPr>
        <w:t>arco temporale di due anni a partire dalla data di cessazione del</w:t>
      </w:r>
      <w:r>
        <w:rPr>
          <w:rFonts w:ascii="Calibri" w:hAnsi="Calibri" w:cs="Calibri"/>
        </w:rPr>
        <w:t xml:space="preserve"> </w:t>
      </w:r>
      <w:r w:rsidRPr="009C0AD4">
        <w:rPr>
          <w:rFonts w:ascii="Calibri" w:hAnsi="Calibri" w:cs="Calibri"/>
        </w:rPr>
        <w:t>precedente contratto</w:t>
      </w:r>
      <w:r>
        <w:rPr>
          <w:rFonts w:ascii="Calibri" w:hAnsi="Calibri" w:cs="Calibri"/>
        </w:rPr>
        <w:t>.</w:t>
      </w:r>
    </w:p>
    <w:p w14:paraId="4BD37224" w14:textId="3B67635A" w:rsidR="00143538" w:rsidRDefault="00143538" w:rsidP="00365B49">
      <w:pPr>
        <w:spacing w:after="120" w:line="300" w:lineRule="auto"/>
        <w:jc w:val="both"/>
        <w:rPr>
          <w:rFonts w:ascii="Calibri" w:hAnsi="Calibri" w:cs="Calibri"/>
        </w:rPr>
      </w:pPr>
      <w:r>
        <w:rPr>
          <w:rFonts w:ascii="Calibri" w:hAnsi="Calibri" w:cs="Calibri"/>
        </w:rPr>
        <w:t>Sotto il profilo soggettivo, va osservato che, per</w:t>
      </w:r>
      <w:r w:rsidR="00884E1C">
        <w:rPr>
          <w:rFonts w:ascii="Calibri" w:hAnsi="Calibri" w:cs="Calibri"/>
        </w:rPr>
        <w:t xml:space="preserve"> espressa previsione normativa, possono fruire della presente deduzione i soggetti che determinano il valore della produzione netta ai sensi degli articoli da 5 a 9 del “Decreto IRAP”, comprese </w:t>
      </w:r>
      <w:r w:rsidR="00365B49" w:rsidRPr="00365B49">
        <w:rPr>
          <w:rFonts w:ascii="Calibri" w:hAnsi="Calibri" w:cs="Calibri"/>
        </w:rPr>
        <w:t>le imprese operanti in concessione e a tariffa</w:t>
      </w:r>
      <w:r w:rsidR="00365B49">
        <w:rPr>
          <w:rStyle w:val="Rimandonotaapidipagina"/>
          <w:rFonts w:ascii="Calibri" w:hAnsi="Calibri" w:cs="Calibri"/>
        </w:rPr>
        <w:footnoteReference w:id="30"/>
      </w:r>
      <w:r w:rsidR="00884E1C">
        <w:rPr>
          <w:rFonts w:ascii="Calibri" w:hAnsi="Calibri" w:cs="Calibri"/>
        </w:rPr>
        <w:t xml:space="preserve">. </w:t>
      </w:r>
      <w:r>
        <w:rPr>
          <w:rFonts w:ascii="Calibri" w:hAnsi="Calibri" w:cs="Calibri"/>
        </w:rPr>
        <w:t>Sono quindi esclusi dall’ambito di applicazione della presente deduzione i seguenti soggetti:</w:t>
      </w:r>
    </w:p>
    <w:p w14:paraId="085B57BA" w14:textId="0DC4BB42" w:rsidR="00143538" w:rsidRDefault="00143538" w:rsidP="00D36947">
      <w:pPr>
        <w:pStyle w:val="Paragrafoelenco"/>
        <w:numPr>
          <w:ilvl w:val="0"/>
          <w:numId w:val="31"/>
        </w:numPr>
        <w:spacing w:after="60" w:line="300" w:lineRule="auto"/>
        <w:ind w:left="426" w:hanging="284"/>
        <w:contextualSpacing w:val="0"/>
        <w:jc w:val="both"/>
        <w:rPr>
          <w:rFonts w:ascii="Calibri" w:hAnsi="Calibri" w:cs="Calibri"/>
        </w:rPr>
      </w:pPr>
      <w:r>
        <w:rPr>
          <w:rFonts w:ascii="Calibri" w:hAnsi="Calibri" w:cs="Calibri"/>
        </w:rPr>
        <w:t>gli enti privati non commerciali, che determinano il valore della produzione netta ai sensi dell’articolo 10 del “Decreto IRAP”;</w:t>
      </w:r>
    </w:p>
    <w:p w14:paraId="4F5095D0" w14:textId="71AF8554" w:rsidR="00143538" w:rsidRDefault="00143538" w:rsidP="00D36947">
      <w:pPr>
        <w:pStyle w:val="Paragrafoelenco"/>
        <w:numPr>
          <w:ilvl w:val="0"/>
          <w:numId w:val="31"/>
        </w:numPr>
        <w:spacing w:after="60" w:line="300" w:lineRule="auto"/>
        <w:ind w:left="426" w:hanging="284"/>
        <w:contextualSpacing w:val="0"/>
        <w:jc w:val="both"/>
        <w:rPr>
          <w:rFonts w:ascii="Calibri" w:hAnsi="Calibri" w:cs="Calibri"/>
        </w:rPr>
      </w:pPr>
      <w:r>
        <w:rPr>
          <w:rFonts w:ascii="Calibri" w:hAnsi="Calibri" w:cs="Calibri"/>
        </w:rPr>
        <w:t>le pubbliche amministrazioni, che determinano il valore della produzione netta ai sensi dell’articolo 10-</w:t>
      </w:r>
      <w:r>
        <w:rPr>
          <w:rFonts w:ascii="Calibri" w:hAnsi="Calibri" w:cs="Calibri"/>
          <w:i/>
          <w:iCs/>
        </w:rPr>
        <w:t xml:space="preserve">bis </w:t>
      </w:r>
      <w:r>
        <w:rPr>
          <w:rFonts w:ascii="Calibri" w:hAnsi="Calibri" w:cs="Calibri"/>
        </w:rPr>
        <w:t>del “Decreto IRAP”;</w:t>
      </w:r>
    </w:p>
    <w:p w14:paraId="759AD056" w14:textId="10CDB053" w:rsidR="00143538" w:rsidRDefault="00143538" w:rsidP="00D36947">
      <w:pPr>
        <w:pStyle w:val="Paragrafoelenco"/>
        <w:numPr>
          <w:ilvl w:val="0"/>
          <w:numId w:val="31"/>
        </w:numPr>
        <w:spacing w:after="60" w:line="300" w:lineRule="auto"/>
        <w:ind w:left="426" w:hanging="284"/>
        <w:contextualSpacing w:val="0"/>
        <w:jc w:val="both"/>
        <w:rPr>
          <w:rFonts w:ascii="Calibri" w:hAnsi="Calibri" w:cs="Calibri"/>
        </w:rPr>
      </w:pPr>
      <w:r>
        <w:rPr>
          <w:rFonts w:ascii="Calibri" w:hAnsi="Calibri" w:cs="Calibri"/>
        </w:rPr>
        <w:t>i soggetti che si avvalgono dei regimi forfettari di determinazione del reddito d’impresa, che determinano il valore della produzione netta ai sensi dell’articolo 17, co</w:t>
      </w:r>
      <w:r w:rsidR="00FD07BD">
        <w:rPr>
          <w:rFonts w:ascii="Calibri" w:hAnsi="Calibri" w:cs="Calibri"/>
        </w:rPr>
        <w:t xml:space="preserve">mma </w:t>
      </w:r>
      <w:r>
        <w:rPr>
          <w:rFonts w:ascii="Calibri" w:hAnsi="Calibri" w:cs="Calibri"/>
        </w:rPr>
        <w:t>2, del “Decreto IRAP”.</w:t>
      </w:r>
    </w:p>
    <w:p w14:paraId="649240F4" w14:textId="2DFF123F" w:rsidR="00143538" w:rsidRPr="008157F1" w:rsidRDefault="00143538" w:rsidP="00EE6A6D">
      <w:pPr>
        <w:spacing w:before="120" w:after="120" w:line="300" w:lineRule="auto"/>
        <w:jc w:val="both"/>
        <w:rPr>
          <w:rFonts w:ascii="Calibri" w:hAnsi="Calibri" w:cs="Calibri"/>
        </w:rPr>
      </w:pPr>
      <w:r>
        <w:rPr>
          <w:rFonts w:ascii="Calibri" w:hAnsi="Calibri" w:cs="Calibri"/>
        </w:rPr>
        <w:t>La disposizione in rassegna, tuttavia, non disciplina l’ipotesi in cui i soggetti di cui alle precedenti lettere a) e b) esercitano anche un’attività commerciale in via non prevalente.</w:t>
      </w:r>
      <w:r w:rsidR="008157F1">
        <w:rPr>
          <w:rFonts w:ascii="Calibri" w:hAnsi="Calibri" w:cs="Calibri"/>
        </w:rPr>
        <w:t xml:space="preserve"> Al riguardo, è possibile fare riferimento alle indicazioni fornite dalla prassi amministrativa con riferimento alla deduzione prevista dagli articoli 2, co</w:t>
      </w:r>
      <w:r w:rsidR="00FD07BD">
        <w:rPr>
          <w:rFonts w:ascii="Calibri" w:hAnsi="Calibri" w:cs="Calibri"/>
        </w:rPr>
        <w:t xml:space="preserve">mma </w:t>
      </w:r>
      <w:r w:rsidR="008157F1">
        <w:rPr>
          <w:rFonts w:ascii="Calibri" w:hAnsi="Calibri" w:cs="Calibri"/>
        </w:rPr>
        <w:t>1, del decreto-legge 6 dicembre 2011, n. 201, convertito con modificazioni dalla legge 22 dicembre 2011, n. 214 e 6, co</w:t>
      </w:r>
      <w:r w:rsidR="00FD07BD">
        <w:rPr>
          <w:rFonts w:ascii="Calibri" w:hAnsi="Calibri" w:cs="Calibri"/>
        </w:rPr>
        <w:t>mma</w:t>
      </w:r>
      <w:r w:rsidR="008157F1">
        <w:rPr>
          <w:rFonts w:ascii="Calibri" w:hAnsi="Calibri" w:cs="Calibri"/>
        </w:rPr>
        <w:t xml:space="preserve"> 1, del decreto-legge 29 novembre 2008, n. 185, convertito con modificazioni dalla legge 28 gennaio 2009, n. 2. Infatti</w:t>
      </w:r>
      <w:r w:rsidR="00430229">
        <w:rPr>
          <w:rFonts w:ascii="Calibri" w:hAnsi="Calibri" w:cs="Calibri"/>
        </w:rPr>
        <w:t>,</w:t>
      </w:r>
      <w:r w:rsidR="008157F1">
        <w:rPr>
          <w:rFonts w:ascii="Calibri" w:hAnsi="Calibri" w:cs="Calibri"/>
        </w:rPr>
        <w:t xml:space="preserve"> anche le disposizioni da ultimo richiamate, nel delineare il loro ambito di applicazione, richiamano i soggetti che determinano la base imponibile ai sensi degli articoli 5, 5-</w:t>
      </w:r>
      <w:r w:rsidR="008157F1">
        <w:rPr>
          <w:rFonts w:ascii="Calibri" w:hAnsi="Calibri" w:cs="Calibri"/>
          <w:i/>
          <w:iCs/>
        </w:rPr>
        <w:t xml:space="preserve">bis, </w:t>
      </w:r>
      <w:r w:rsidR="008157F1">
        <w:rPr>
          <w:rFonts w:ascii="Calibri" w:hAnsi="Calibri" w:cs="Calibri"/>
        </w:rPr>
        <w:t>6, 7 e 8 del “Decreto IRAP”.</w:t>
      </w:r>
      <w:r w:rsidR="00430229">
        <w:rPr>
          <w:rFonts w:ascii="Calibri" w:hAnsi="Calibri" w:cs="Calibri"/>
        </w:rPr>
        <w:t xml:space="preserve"> In proposito, la circolare 14 aprile 2009, n. 16/E (paragrafo 1)</w:t>
      </w:r>
      <w:r w:rsidR="00430229">
        <w:rPr>
          <w:rStyle w:val="Rimandonotaapidipagina"/>
          <w:rFonts w:ascii="Calibri" w:hAnsi="Calibri" w:cs="Calibri"/>
        </w:rPr>
        <w:footnoteReference w:id="31"/>
      </w:r>
      <w:r w:rsidR="00430229">
        <w:rPr>
          <w:rFonts w:ascii="Calibri" w:hAnsi="Calibri" w:cs="Calibri"/>
        </w:rPr>
        <w:t xml:space="preserve"> ha chiarito che la deduzione si applica anche agli enti non commerciali (limitatamente all’attività commerciale svolta), alle stabili organizzazioni di società ed enti non residenti, nonché alle pubbliche amministrazioni che, relativamente all’attività commerciale eventualmente esercitata, hanno optato per l’utilizzo delle disposizioni di cui all’articolo 5 del “Decreto IRAP”.</w:t>
      </w:r>
    </w:p>
    <w:p w14:paraId="790E133F" w14:textId="1D81CD19" w:rsidR="005F3283" w:rsidRDefault="00430229" w:rsidP="00365B49">
      <w:pPr>
        <w:spacing w:after="120" w:line="300" w:lineRule="auto"/>
        <w:jc w:val="both"/>
        <w:rPr>
          <w:rFonts w:ascii="Calibri" w:hAnsi="Calibri" w:cs="Calibri"/>
        </w:rPr>
      </w:pPr>
      <w:r>
        <w:rPr>
          <w:rFonts w:ascii="Calibri" w:hAnsi="Calibri" w:cs="Calibri"/>
        </w:rPr>
        <w:t xml:space="preserve">Adottando siffatto orientamento interpretativo, per quanto più da </w:t>
      </w:r>
      <w:r w:rsidR="00FD07BD">
        <w:rPr>
          <w:rFonts w:ascii="Calibri" w:hAnsi="Calibri" w:cs="Calibri"/>
        </w:rPr>
        <w:t>v</w:t>
      </w:r>
      <w:r>
        <w:rPr>
          <w:rFonts w:ascii="Calibri" w:hAnsi="Calibri" w:cs="Calibri"/>
        </w:rPr>
        <w:t>icino ci occupa in questa sede, è possibile affermare che la deduzione in esame si applica anche agli enti non commerciali, limitatamente all’attività commerciale eventualmente svolta.</w:t>
      </w:r>
    </w:p>
    <w:p w14:paraId="2B299A6B" w14:textId="0B10F5A9" w:rsidR="00DE526B" w:rsidRPr="000F465A" w:rsidRDefault="00DE526B" w:rsidP="00DE526B">
      <w:pPr>
        <w:pStyle w:val="Titolo1"/>
      </w:pPr>
      <w:bookmarkStart w:id="14" w:name="_Toc56777660"/>
      <w:r>
        <w:lastRenderedPageBreak/>
        <w:t>Quadro di sintesi</w:t>
      </w:r>
      <w:bookmarkEnd w:id="14"/>
    </w:p>
    <w:tbl>
      <w:tblPr>
        <w:tblStyle w:val="Grigliatabella"/>
        <w:tblW w:w="5000" w:type="pct"/>
        <w:tblLook w:val="04A0" w:firstRow="1" w:lastRow="0" w:firstColumn="1" w:lastColumn="0" w:noHBand="0" w:noVBand="1"/>
      </w:tblPr>
      <w:tblGrid>
        <w:gridCol w:w="2446"/>
        <w:gridCol w:w="6614"/>
      </w:tblGrid>
      <w:tr w:rsidR="00D36947" w:rsidRPr="00A77794" w14:paraId="1D0EC64D" w14:textId="77777777" w:rsidTr="00066554">
        <w:trPr>
          <w:trHeight w:hRule="exact" w:val="567"/>
        </w:trPr>
        <w:tc>
          <w:tcPr>
            <w:tcW w:w="1350" w:type="pct"/>
            <w:tcBorders>
              <w:bottom w:val="single" w:sz="4" w:space="0" w:color="1F3864"/>
              <w:right w:val="single" w:sz="4" w:space="0" w:color="1F3864"/>
            </w:tcBorders>
            <w:shd w:val="clear" w:color="auto" w:fill="1F3864"/>
            <w:vAlign w:val="center"/>
          </w:tcPr>
          <w:p w14:paraId="0B08072C" w14:textId="77777777" w:rsidR="00D36947" w:rsidRPr="00A77794" w:rsidRDefault="00D36947" w:rsidP="00066554">
            <w:pPr>
              <w:jc w:val="center"/>
              <w:rPr>
                <w:b/>
                <w:bCs/>
                <w:smallCaps/>
              </w:rPr>
            </w:pPr>
            <w:r w:rsidRPr="00A77794">
              <w:rPr>
                <w:b/>
                <w:bCs/>
                <w:smallCaps/>
              </w:rPr>
              <w:t>Riferimento normativo</w:t>
            </w:r>
          </w:p>
        </w:tc>
        <w:tc>
          <w:tcPr>
            <w:tcW w:w="3650" w:type="pct"/>
            <w:tcBorders>
              <w:left w:val="single" w:sz="4" w:space="0" w:color="1F3864"/>
              <w:bottom w:val="single" w:sz="4" w:space="0" w:color="1F3864"/>
            </w:tcBorders>
            <w:shd w:val="clear" w:color="auto" w:fill="1F3864"/>
            <w:vAlign w:val="center"/>
          </w:tcPr>
          <w:p w14:paraId="4E07D1F7" w14:textId="77777777" w:rsidR="00D36947" w:rsidRPr="00A77794" w:rsidRDefault="00D36947" w:rsidP="00066554">
            <w:pPr>
              <w:spacing w:line="300" w:lineRule="auto"/>
              <w:jc w:val="center"/>
              <w:rPr>
                <w:b/>
                <w:bCs/>
                <w:smallCaps/>
              </w:rPr>
            </w:pPr>
            <w:r>
              <w:rPr>
                <w:b/>
                <w:bCs/>
                <w:smallCaps/>
              </w:rPr>
              <w:t>D</w:t>
            </w:r>
            <w:r w:rsidRPr="00A77794">
              <w:rPr>
                <w:b/>
                <w:bCs/>
                <w:smallCaps/>
              </w:rPr>
              <w:t>eduzioni</w:t>
            </w:r>
          </w:p>
        </w:tc>
      </w:tr>
      <w:tr w:rsidR="00D36947" w14:paraId="1E5879DD" w14:textId="77777777" w:rsidTr="00B2233D">
        <w:tc>
          <w:tcPr>
            <w:tcW w:w="13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5ADA3C15" w14:textId="77777777" w:rsidR="00D36947" w:rsidRPr="00A77794" w:rsidRDefault="00D36947" w:rsidP="00066554">
            <w:pPr>
              <w:spacing w:line="300" w:lineRule="auto"/>
              <w:jc w:val="center"/>
              <w:rPr>
                <w:sz w:val="20"/>
                <w:szCs w:val="20"/>
              </w:rPr>
            </w:pPr>
            <w:r w:rsidRPr="00A77794">
              <w:rPr>
                <w:rFonts w:cs="Calibri"/>
                <w:i/>
                <w:iCs/>
                <w:sz w:val="20"/>
                <w:szCs w:val="20"/>
              </w:rPr>
              <w:t>Articolo 11, comma 1, lett. a), n. 1 del “Decreto IRAP”</w:t>
            </w:r>
          </w:p>
        </w:tc>
        <w:tc>
          <w:tcPr>
            <w:tcW w:w="36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013FCFBE" w14:textId="77777777" w:rsidR="00D36947" w:rsidRPr="00D36947" w:rsidRDefault="00D36947" w:rsidP="00B2233D">
            <w:pPr>
              <w:pStyle w:val="Paragrafoelenco"/>
              <w:numPr>
                <w:ilvl w:val="0"/>
                <w:numId w:val="19"/>
              </w:numPr>
              <w:spacing w:line="300" w:lineRule="auto"/>
              <w:ind w:left="365" w:hanging="266"/>
              <w:contextualSpacing w:val="0"/>
              <w:jc w:val="both"/>
              <w:rPr>
                <w:rFonts w:cs="Calibri"/>
                <w:sz w:val="20"/>
                <w:szCs w:val="20"/>
              </w:rPr>
            </w:pPr>
            <w:r w:rsidRPr="00D36947">
              <w:rPr>
                <w:rFonts w:cs="Calibri"/>
                <w:sz w:val="20"/>
                <w:szCs w:val="20"/>
              </w:rPr>
              <w:t>la deduzione spetta solo in relazione ai lavoratori dipendenti degli enti non commerciali impiegati in attività commerciali, se promiscuamente impiegati, spetta solo in misura proporzionale all’attività commerciale svolta;</w:t>
            </w:r>
          </w:p>
          <w:p w14:paraId="081164E6" w14:textId="77777777" w:rsidR="00D36947" w:rsidRPr="00D36947" w:rsidRDefault="00D36947" w:rsidP="00B2233D">
            <w:pPr>
              <w:pStyle w:val="Paragrafoelenco"/>
              <w:numPr>
                <w:ilvl w:val="0"/>
                <w:numId w:val="19"/>
              </w:numPr>
              <w:spacing w:before="80" w:line="300" w:lineRule="auto"/>
              <w:ind w:left="365" w:hanging="266"/>
              <w:contextualSpacing w:val="0"/>
              <w:jc w:val="both"/>
              <w:rPr>
                <w:rFonts w:cs="Calibri"/>
                <w:sz w:val="20"/>
                <w:szCs w:val="20"/>
              </w:rPr>
            </w:pPr>
            <w:r w:rsidRPr="00D36947">
              <w:rPr>
                <w:rFonts w:cs="Calibri"/>
                <w:sz w:val="20"/>
                <w:szCs w:val="20"/>
              </w:rPr>
              <w:t>la deduzione può essere cumulata alle altre deduzioni previste dall’articolo 11 del “Decreto IRAP”.</w:t>
            </w:r>
          </w:p>
        </w:tc>
      </w:tr>
      <w:tr w:rsidR="00D36947" w14:paraId="10C15511" w14:textId="77777777" w:rsidTr="00B2233D">
        <w:tc>
          <w:tcPr>
            <w:tcW w:w="13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4347DC01" w14:textId="77777777" w:rsidR="00D36947" w:rsidRPr="00A77794" w:rsidRDefault="00D36947" w:rsidP="00066554">
            <w:pPr>
              <w:spacing w:line="300" w:lineRule="auto"/>
              <w:jc w:val="center"/>
              <w:rPr>
                <w:sz w:val="20"/>
                <w:szCs w:val="20"/>
              </w:rPr>
            </w:pPr>
            <w:r w:rsidRPr="00A77794">
              <w:rPr>
                <w:rFonts w:cs="Calibri"/>
                <w:i/>
                <w:iCs/>
                <w:sz w:val="20"/>
                <w:szCs w:val="20"/>
              </w:rPr>
              <w:t>Articolo 11, comma 1, lett. a), n. 2 del “Decreto IRAP”</w:t>
            </w:r>
          </w:p>
        </w:tc>
        <w:tc>
          <w:tcPr>
            <w:tcW w:w="36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36CFE3D9" w14:textId="77777777" w:rsidR="00D36947" w:rsidRPr="00D36947" w:rsidRDefault="00D36947" w:rsidP="00B2233D">
            <w:pPr>
              <w:pStyle w:val="Paragrafoelenco"/>
              <w:numPr>
                <w:ilvl w:val="0"/>
                <w:numId w:val="19"/>
              </w:numPr>
              <w:spacing w:line="300" w:lineRule="auto"/>
              <w:ind w:left="362" w:hanging="266"/>
              <w:contextualSpacing w:val="0"/>
              <w:jc w:val="both"/>
              <w:rPr>
                <w:rFonts w:cs="Calibri"/>
                <w:sz w:val="20"/>
                <w:szCs w:val="20"/>
              </w:rPr>
            </w:pPr>
            <w:r w:rsidRPr="00D36947">
              <w:rPr>
                <w:rFonts w:cs="Calibri"/>
                <w:sz w:val="20"/>
                <w:szCs w:val="20"/>
              </w:rPr>
              <w:t>la deduzione spetta solo in relazione ai lavoratori dipendenti a tempo indeterminato degli enti non commerciali impiegati nelle attività commerciali, se promiscuamente impiegati, spetta solo in misura proporzionale all’attività commerciale svolta;</w:t>
            </w:r>
          </w:p>
          <w:p w14:paraId="6064D6F1" w14:textId="77777777" w:rsidR="00D36947" w:rsidRPr="00D36947" w:rsidRDefault="00D36947" w:rsidP="00B2233D">
            <w:pPr>
              <w:pStyle w:val="Paragrafoelenco"/>
              <w:numPr>
                <w:ilvl w:val="0"/>
                <w:numId w:val="19"/>
              </w:numPr>
              <w:spacing w:before="80" w:line="300" w:lineRule="auto"/>
              <w:ind w:left="365" w:hanging="266"/>
              <w:contextualSpacing w:val="0"/>
              <w:jc w:val="both"/>
              <w:rPr>
                <w:rFonts w:cs="Calibri"/>
                <w:sz w:val="20"/>
                <w:szCs w:val="20"/>
              </w:rPr>
            </w:pPr>
            <w:r w:rsidRPr="00D36947">
              <w:rPr>
                <w:rFonts w:cs="Calibri"/>
                <w:sz w:val="20"/>
                <w:szCs w:val="20"/>
              </w:rPr>
              <w:t>la deduzione è alternativa alla fruizione delle deduzioni di cui all’articolo 11, comma 1, lettera a), n. 5) e comma 4-</w:t>
            </w:r>
            <w:r w:rsidRPr="00D36947">
              <w:rPr>
                <w:rFonts w:cs="Calibri"/>
                <w:i/>
                <w:iCs/>
                <w:sz w:val="20"/>
                <w:szCs w:val="20"/>
              </w:rPr>
              <w:t>bis</w:t>
            </w:r>
            <w:r w:rsidRPr="00D36947">
              <w:rPr>
                <w:rFonts w:cs="Calibri"/>
                <w:sz w:val="20"/>
                <w:szCs w:val="20"/>
              </w:rPr>
              <w:t>.1 del “Decreto IRAP”;</w:t>
            </w:r>
          </w:p>
          <w:p w14:paraId="1796D6F6" w14:textId="53B700A1" w:rsidR="00D36947" w:rsidRPr="00D36947" w:rsidRDefault="00D36947" w:rsidP="00B2233D">
            <w:pPr>
              <w:pStyle w:val="Paragrafoelenco"/>
              <w:numPr>
                <w:ilvl w:val="0"/>
                <w:numId w:val="19"/>
              </w:numPr>
              <w:spacing w:before="80" w:line="300" w:lineRule="auto"/>
              <w:ind w:left="365" w:hanging="266"/>
              <w:contextualSpacing w:val="0"/>
              <w:jc w:val="both"/>
              <w:rPr>
                <w:rFonts w:cs="Calibri"/>
                <w:sz w:val="20"/>
                <w:szCs w:val="20"/>
              </w:rPr>
            </w:pPr>
            <w:r w:rsidRPr="00D36947">
              <w:rPr>
                <w:rFonts w:cs="Calibri"/>
                <w:sz w:val="20"/>
                <w:szCs w:val="20"/>
              </w:rPr>
              <w:t xml:space="preserve">la deduzione, viceversa, può essere cumulata con le deduzioni di cui al medesimo articolo 11, comma 1, </w:t>
            </w:r>
            <w:r w:rsidR="00350D5B">
              <w:rPr>
                <w:rFonts w:cs="Calibri"/>
                <w:sz w:val="20"/>
                <w:szCs w:val="20"/>
              </w:rPr>
              <w:t>lettera</w:t>
            </w:r>
            <w:r w:rsidRPr="00D36947">
              <w:rPr>
                <w:rFonts w:cs="Calibri"/>
                <w:sz w:val="20"/>
                <w:szCs w:val="20"/>
              </w:rPr>
              <w:t xml:space="preserve"> a), n. 1, comma 4-</w:t>
            </w:r>
            <w:r w:rsidRPr="00D36947">
              <w:rPr>
                <w:rFonts w:cs="Calibri"/>
                <w:i/>
                <w:iCs/>
                <w:sz w:val="20"/>
                <w:szCs w:val="20"/>
              </w:rPr>
              <w:t>bis</w:t>
            </w:r>
            <w:r w:rsidRPr="00D36947">
              <w:rPr>
                <w:rFonts w:cs="Calibri"/>
                <w:sz w:val="20"/>
                <w:szCs w:val="20"/>
              </w:rPr>
              <w:t xml:space="preserve"> e 4-</w:t>
            </w:r>
            <w:r w:rsidRPr="00D36947">
              <w:rPr>
                <w:rFonts w:cs="Calibri"/>
                <w:i/>
                <w:iCs/>
                <w:sz w:val="20"/>
                <w:szCs w:val="20"/>
              </w:rPr>
              <w:t>quater</w:t>
            </w:r>
            <w:r w:rsidRPr="00D36947">
              <w:rPr>
                <w:rFonts w:cs="Calibri"/>
                <w:sz w:val="20"/>
                <w:szCs w:val="20"/>
              </w:rPr>
              <w:t>.</w:t>
            </w:r>
          </w:p>
        </w:tc>
      </w:tr>
      <w:tr w:rsidR="00D36947" w14:paraId="3E304FAC" w14:textId="77777777" w:rsidTr="00B2233D">
        <w:tc>
          <w:tcPr>
            <w:tcW w:w="13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63E91B68" w14:textId="77777777" w:rsidR="00D36947" w:rsidRPr="00A77794" w:rsidRDefault="00D36947" w:rsidP="00066554">
            <w:pPr>
              <w:spacing w:line="300" w:lineRule="auto"/>
              <w:jc w:val="center"/>
              <w:rPr>
                <w:sz w:val="20"/>
                <w:szCs w:val="20"/>
              </w:rPr>
            </w:pPr>
            <w:r w:rsidRPr="00A77794">
              <w:rPr>
                <w:rFonts w:cs="Calibri"/>
                <w:i/>
                <w:iCs/>
                <w:sz w:val="20"/>
                <w:szCs w:val="20"/>
              </w:rPr>
              <w:t>Articolo 11, comma 1, lett. a), n. 4 del “Decreto IRAP”</w:t>
            </w:r>
          </w:p>
        </w:tc>
        <w:tc>
          <w:tcPr>
            <w:tcW w:w="36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00CD4166" w14:textId="77777777" w:rsidR="00D36947" w:rsidRPr="00D36947" w:rsidRDefault="00D36947" w:rsidP="00B2233D">
            <w:pPr>
              <w:pStyle w:val="Paragrafoelenco"/>
              <w:numPr>
                <w:ilvl w:val="0"/>
                <w:numId w:val="19"/>
              </w:numPr>
              <w:spacing w:line="300" w:lineRule="auto"/>
              <w:ind w:left="362" w:hanging="266"/>
              <w:contextualSpacing w:val="0"/>
              <w:jc w:val="both"/>
              <w:rPr>
                <w:rFonts w:cs="Calibri"/>
                <w:sz w:val="20"/>
                <w:szCs w:val="20"/>
              </w:rPr>
            </w:pPr>
            <w:r w:rsidRPr="00D36947">
              <w:rPr>
                <w:rFonts w:cs="Calibri"/>
                <w:sz w:val="20"/>
                <w:szCs w:val="20"/>
              </w:rPr>
              <w:t>la deduzione spetta solo in relazione ai lavoratori dipendenti a tempo indeterminato degli enti non commerciali impiegati nelle attività commerciali, se promiscuamente impiegati, spetta in misura proporzionale all’attività commerciale svolta;</w:t>
            </w:r>
          </w:p>
          <w:p w14:paraId="5D5286A6" w14:textId="77777777" w:rsidR="00D36947" w:rsidRPr="00D36947" w:rsidRDefault="00D36947" w:rsidP="00B2233D">
            <w:pPr>
              <w:pStyle w:val="Paragrafoelenco"/>
              <w:numPr>
                <w:ilvl w:val="0"/>
                <w:numId w:val="19"/>
              </w:numPr>
              <w:spacing w:before="80" w:line="300" w:lineRule="auto"/>
              <w:ind w:left="365" w:hanging="266"/>
              <w:contextualSpacing w:val="0"/>
              <w:jc w:val="both"/>
              <w:rPr>
                <w:rFonts w:cs="Calibri"/>
                <w:sz w:val="20"/>
                <w:szCs w:val="20"/>
              </w:rPr>
            </w:pPr>
            <w:r w:rsidRPr="00D36947">
              <w:rPr>
                <w:rFonts w:cs="Calibri"/>
                <w:sz w:val="20"/>
                <w:szCs w:val="20"/>
              </w:rPr>
              <w:t>la deduzione è alternativa alla fruizione delle deduzioni di cui all’articolo 11, comma 1, lettera a), n. 5) e comma 4-</w:t>
            </w:r>
            <w:r w:rsidRPr="00D36947">
              <w:rPr>
                <w:rFonts w:cs="Calibri"/>
                <w:i/>
                <w:iCs/>
                <w:sz w:val="20"/>
                <w:szCs w:val="20"/>
              </w:rPr>
              <w:t>bis</w:t>
            </w:r>
            <w:r w:rsidRPr="00D36947">
              <w:rPr>
                <w:rFonts w:cs="Calibri"/>
                <w:sz w:val="20"/>
                <w:szCs w:val="20"/>
              </w:rPr>
              <w:t>.1 del “Decreto IRAP”;</w:t>
            </w:r>
          </w:p>
          <w:p w14:paraId="420468AB" w14:textId="4AA9764F" w:rsidR="00D36947" w:rsidRPr="00D36947" w:rsidRDefault="00D36947" w:rsidP="00B2233D">
            <w:pPr>
              <w:pStyle w:val="Paragrafoelenco"/>
              <w:numPr>
                <w:ilvl w:val="0"/>
                <w:numId w:val="19"/>
              </w:numPr>
              <w:spacing w:before="80" w:line="300" w:lineRule="auto"/>
              <w:ind w:left="365" w:hanging="266"/>
              <w:contextualSpacing w:val="0"/>
              <w:jc w:val="both"/>
              <w:rPr>
                <w:sz w:val="20"/>
                <w:szCs w:val="20"/>
              </w:rPr>
            </w:pPr>
            <w:r w:rsidRPr="00D36947">
              <w:rPr>
                <w:rFonts w:cs="Calibri"/>
                <w:sz w:val="20"/>
                <w:szCs w:val="20"/>
              </w:rPr>
              <w:t xml:space="preserve">la deduzione, viceversa, può essere cumulata con le deduzioni di cui al medesimo articolo 11, comma 1, </w:t>
            </w:r>
            <w:r w:rsidR="00350D5B">
              <w:rPr>
                <w:rFonts w:cs="Calibri"/>
                <w:sz w:val="20"/>
                <w:szCs w:val="20"/>
              </w:rPr>
              <w:t>lettera</w:t>
            </w:r>
            <w:r w:rsidRPr="00D36947">
              <w:rPr>
                <w:rFonts w:cs="Calibri"/>
                <w:sz w:val="20"/>
                <w:szCs w:val="20"/>
              </w:rPr>
              <w:t xml:space="preserve"> a), n. 1, comma 4-</w:t>
            </w:r>
            <w:r w:rsidRPr="00D36947">
              <w:rPr>
                <w:rFonts w:cs="Calibri"/>
                <w:i/>
                <w:iCs/>
                <w:sz w:val="20"/>
                <w:szCs w:val="20"/>
              </w:rPr>
              <w:t>bis</w:t>
            </w:r>
            <w:r w:rsidRPr="00D36947">
              <w:rPr>
                <w:rFonts w:cs="Calibri"/>
                <w:sz w:val="20"/>
                <w:szCs w:val="20"/>
              </w:rPr>
              <w:t xml:space="preserve"> e 4-</w:t>
            </w:r>
            <w:r w:rsidRPr="00D36947">
              <w:rPr>
                <w:rFonts w:cs="Calibri"/>
                <w:i/>
                <w:iCs/>
                <w:sz w:val="20"/>
                <w:szCs w:val="20"/>
              </w:rPr>
              <w:t>quater</w:t>
            </w:r>
            <w:r w:rsidRPr="00D36947">
              <w:rPr>
                <w:rFonts w:cs="Calibri"/>
                <w:sz w:val="20"/>
                <w:szCs w:val="20"/>
              </w:rPr>
              <w:t>.</w:t>
            </w:r>
          </w:p>
        </w:tc>
      </w:tr>
      <w:tr w:rsidR="00D36947" w14:paraId="3CC4CC8A" w14:textId="77777777" w:rsidTr="00B2233D">
        <w:tc>
          <w:tcPr>
            <w:tcW w:w="13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5E6D545F" w14:textId="77777777" w:rsidR="00D36947" w:rsidRPr="00A77794" w:rsidRDefault="00D36947" w:rsidP="00066554">
            <w:pPr>
              <w:spacing w:line="300" w:lineRule="auto"/>
              <w:jc w:val="center"/>
              <w:rPr>
                <w:sz w:val="20"/>
                <w:szCs w:val="20"/>
              </w:rPr>
            </w:pPr>
            <w:r w:rsidRPr="00A77794">
              <w:rPr>
                <w:rFonts w:cs="Calibri"/>
                <w:i/>
                <w:iCs/>
                <w:sz w:val="20"/>
                <w:szCs w:val="20"/>
              </w:rPr>
              <w:t>Articolo 11, comma 1, lett. a), n. 5 del “Decreto IRAP”</w:t>
            </w:r>
          </w:p>
        </w:tc>
        <w:tc>
          <w:tcPr>
            <w:tcW w:w="36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234AA704" w14:textId="77777777" w:rsidR="00D36947" w:rsidRPr="00D36947" w:rsidRDefault="00D36947" w:rsidP="00B2233D">
            <w:pPr>
              <w:pStyle w:val="Paragrafoelenco"/>
              <w:numPr>
                <w:ilvl w:val="0"/>
                <w:numId w:val="19"/>
              </w:numPr>
              <w:spacing w:line="300" w:lineRule="auto"/>
              <w:ind w:left="362" w:hanging="266"/>
              <w:contextualSpacing w:val="0"/>
              <w:jc w:val="both"/>
              <w:rPr>
                <w:rFonts w:cs="Calibri"/>
                <w:sz w:val="20"/>
                <w:szCs w:val="20"/>
              </w:rPr>
            </w:pPr>
            <w:r w:rsidRPr="00D36947">
              <w:rPr>
                <w:rFonts w:cs="Calibri"/>
                <w:sz w:val="20"/>
                <w:szCs w:val="20"/>
              </w:rPr>
              <w:t>la deduzione spetta solo in relazione ai lavoratori (dipendenti, collaboratori, borsisti, etc.) degli enti non commerciali impiegati nell’attività di ricerca (di base e applicata) e sviluppo;</w:t>
            </w:r>
          </w:p>
          <w:p w14:paraId="01F60A84" w14:textId="77777777" w:rsidR="00D36947" w:rsidRPr="00D36947" w:rsidRDefault="00D36947" w:rsidP="00B2233D">
            <w:pPr>
              <w:pStyle w:val="Paragrafoelenco"/>
              <w:numPr>
                <w:ilvl w:val="0"/>
                <w:numId w:val="19"/>
              </w:numPr>
              <w:spacing w:before="80" w:line="300" w:lineRule="auto"/>
              <w:ind w:left="365" w:hanging="266"/>
              <w:contextualSpacing w:val="0"/>
              <w:jc w:val="both"/>
              <w:rPr>
                <w:rFonts w:cs="Calibri"/>
                <w:sz w:val="20"/>
                <w:szCs w:val="20"/>
              </w:rPr>
            </w:pPr>
            <w:r w:rsidRPr="00D36947">
              <w:rPr>
                <w:rFonts w:cs="Calibri"/>
                <w:sz w:val="20"/>
                <w:szCs w:val="20"/>
              </w:rPr>
              <w:t>la deduzione spetta sia con riferimento all’attività istituzionale che all’attività commerciale;</w:t>
            </w:r>
          </w:p>
          <w:p w14:paraId="56FE170F" w14:textId="77777777" w:rsidR="00D36947" w:rsidRPr="00D36947" w:rsidRDefault="00D36947" w:rsidP="00B2233D">
            <w:pPr>
              <w:pStyle w:val="Paragrafoelenco"/>
              <w:numPr>
                <w:ilvl w:val="0"/>
                <w:numId w:val="19"/>
              </w:numPr>
              <w:spacing w:before="80" w:line="300" w:lineRule="auto"/>
              <w:ind w:left="365" w:hanging="266"/>
              <w:contextualSpacing w:val="0"/>
              <w:jc w:val="both"/>
              <w:rPr>
                <w:rFonts w:cs="Calibri"/>
                <w:sz w:val="20"/>
                <w:szCs w:val="20"/>
              </w:rPr>
            </w:pPr>
            <w:r w:rsidRPr="00D36947">
              <w:rPr>
                <w:rFonts w:cs="Calibri"/>
                <w:sz w:val="20"/>
                <w:szCs w:val="20"/>
              </w:rPr>
              <w:t>la deduzione è alternativa alla fruizione delle deduzioni di cui all’articolo 11, comma 1, lettera a), nn. 2 e 4 del “Decreto IRAP”;</w:t>
            </w:r>
          </w:p>
          <w:p w14:paraId="6CC781A0" w14:textId="610C2552" w:rsidR="00D36947" w:rsidRPr="00D36947" w:rsidRDefault="00D36947" w:rsidP="00B2233D">
            <w:pPr>
              <w:pStyle w:val="Paragrafoelenco"/>
              <w:numPr>
                <w:ilvl w:val="0"/>
                <w:numId w:val="19"/>
              </w:numPr>
              <w:spacing w:before="80" w:line="300" w:lineRule="auto"/>
              <w:ind w:left="365" w:hanging="266"/>
              <w:contextualSpacing w:val="0"/>
              <w:jc w:val="both"/>
              <w:rPr>
                <w:sz w:val="20"/>
                <w:szCs w:val="20"/>
              </w:rPr>
            </w:pPr>
            <w:r w:rsidRPr="00D36947">
              <w:rPr>
                <w:rFonts w:cs="Calibri"/>
                <w:sz w:val="20"/>
                <w:szCs w:val="20"/>
              </w:rPr>
              <w:t xml:space="preserve">la deduzione, viceversa, può essere cumulata con le deduzioni di cui al medesimo articolo 11, comma 1, </w:t>
            </w:r>
            <w:r w:rsidR="00350D5B">
              <w:rPr>
                <w:rFonts w:cs="Calibri"/>
                <w:sz w:val="20"/>
                <w:szCs w:val="20"/>
              </w:rPr>
              <w:t>lettera</w:t>
            </w:r>
            <w:r w:rsidRPr="00D36947">
              <w:rPr>
                <w:rFonts w:cs="Calibri"/>
                <w:sz w:val="20"/>
                <w:szCs w:val="20"/>
              </w:rPr>
              <w:t xml:space="preserve"> a), n. 1, comma 4-</w:t>
            </w:r>
            <w:r w:rsidRPr="00D36947">
              <w:rPr>
                <w:rFonts w:cs="Calibri"/>
                <w:i/>
                <w:iCs/>
                <w:sz w:val="20"/>
                <w:szCs w:val="20"/>
              </w:rPr>
              <w:t>bis</w:t>
            </w:r>
            <w:r w:rsidRPr="00D36947">
              <w:rPr>
                <w:rFonts w:cs="Calibri"/>
                <w:sz w:val="20"/>
                <w:szCs w:val="20"/>
              </w:rPr>
              <w:t xml:space="preserve"> e 4-</w:t>
            </w:r>
            <w:r w:rsidRPr="00D36947">
              <w:rPr>
                <w:rFonts w:cs="Calibri"/>
                <w:i/>
                <w:iCs/>
                <w:sz w:val="20"/>
                <w:szCs w:val="20"/>
              </w:rPr>
              <w:t>quater</w:t>
            </w:r>
            <w:r w:rsidRPr="00D36947">
              <w:rPr>
                <w:rFonts w:cs="Calibri"/>
                <w:sz w:val="20"/>
                <w:szCs w:val="20"/>
              </w:rPr>
              <w:t>.</w:t>
            </w:r>
          </w:p>
        </w:tc>
      </w:tr>
      <w:tr w:rsidR="00D36947" w14:paraId="2CFE1158" w14:textId="77777777" w:rsidTr="00B2233D">
        <w:tc>
          <w:tcPr>
            <w:tcW w:w="13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64E795E2" w14:textId="77777777" w:rsidR="00D36947" w:rsidRPr="00A77794" w:rsidRDefault="00D36947" w:rsidP="00066554">
            <w:pPr>
              <w:spacing w:line="300" w:lineRule="auto"/>
              <w:jc w:val="center"/>
              <w:rPr>
                <w:rFonts w:cs="Calibri"/>
                <w:i/>
                <w:iCs/>
                <w:sz w:val="20"/>
                <w:szCs w:val="20"/>
              </w:rPr>
            </w:pPr>
            <w:r w:rsidRPr="00A77794">
              <w:rPr>
                <w:rFonts w:cs="Calibri"/>
                <w:i/>
                <w:iCs/>
                <w:sz w:val="20"/>
                <w:szCs w:val="20"/>
              </w:rPr>
              <w:t>Articolo 11, comma 4-bis del “Decreto IRAP”</w:t>
            </w:r>
          </w:p>
        </w:tc>
        <w:tc>
          <w:tcPr>
            <w:tcW w:w="36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236DF172" w14:textId="77777777" w:rsidR="00D36947" w:rsidRPr="00D36947" w:rsidRDefault="00D36947" w:rsidP="00B2233D">
            <w:pPr>
              <w:pStyle w:val="Paragrafoelenco"/>
              <w:numPr>
                <w:ilvl w:val="0"/>
                <w:numId w:val="19"/>
              </w:numPr>
              <w:spacing w:line="300" w:lineRule="auto"/>
              <w:ind w:left="362" w:hanging="266"/>
              <w:contextualSpacing w:val="0"/>
              <w:jc w:val="both"/>
              <w:rPr>
                <w:rFonts w:cs="Calibri"/>
                <w:sz w:val="20"/>
                <w:szCs w:val="20"/>
              </w:rPr>
            </w:pPr>
            <w:r w:rsidRPr="00D36947">
              <w:rPr>
                <w:rFonts w:cs="Calibri"/>
                <w:sz w:val="20"/>
                <w:szCs w:val="20"/>
              </w:rPr>
              <w:t>la deduzione spetta senza alcuna limitazione con riferimento all’attività esercitata dall’ente non commerciale, sia essa istituzionale o commerciale;</w:t>
            </w:r>
          </w:p>
          <w:p w14:paraId="4BD45CEF" w14:textId="77777777" w:rsidR="00D36947" w:rsidRPr="00D36947" w:rsidRDefault="00D36947" w:rsidP="00B2233D">
            <w:pPr>
              <w:pStyle w:val="Paragrafoelenco"/>
              <w:numPr>
                <w:ilvl w:val="0"/>
                <w:numId w:val="19"/>
              </w:numPr>
              <w:spacing w:before="80" w:line="300" w:lineRule="auto"/>
              <w:ind w:left="365" w:hanging="266"/>
              <w:contextualSpacing w:val="0"/>
              <w:jc w:val="both"/>
              <w:rPr>
                <w:sz w:val="20"/>
                <w:szCs w:val="20"/>
              </w:rPr>
            </w:pPr>
            <w:r w:rsidRPr="00D36947">
              <w:rPr>
                <w:rFonts w:cs="Calibri"/>
                <w:sz w:val="20"/>
                <w:szCs w:val="20"/>
              </w:rPr>
              <w:t>la deduzione può essere cumulata alle altre deduzioni previste dall’articolo 11 del “Decreto IRAP”.</w:t>
            </w:r>
          </w:p>
        </w:tc>
      </w:tr>
      <w:tr w:rsidR="00D36947" w14:paraId="1A6B3A08" w14:textId="77777777" w:rsidTr="00B2233D">
        <w:tc>
          <w:tcPr>
            <w:tcW w:w="13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29EC329D" w14:textId="77777777" w:rsidR="00D36947" w:rsidRPr="00A77794" w:rsidRDefault="00D36947" w:rsidP="00066554">
            <w:pPr>
              <w:spacing w:line="300" w:lineRule="auto"/>
              <w:jc w:val="center"/>
              <w:rPr>
                <w:rFonts w:cs="Calibri"/>
                <w:i/>
                <w:iCs/>
                <w:sz w:val="20"/>
                <w:szCs w:val="20"/>
              </w:rPr>
            </w:pPr>
            <w:r w:rsidRPr="00A77794">
              <w:rPr>
                <w:rFonts w:cs="Calibri"/>
                <w:i/>
                <w:iCs/>
                <w:sz w:val="20"/>
                <w:szCs w:val="20"/>
              </w:rPr>
              <w:lastRenderedPageBreak/>
              <w:t>Articolo 11, comma 4-</w:t>
            </w:r>
            <w:r w:rsidRPr="00A77794">
              <w:rPr>
                <w:rFonts w:cs="Calibri"/>
                <w:sz w:val="20"/>
                <w:szCs w:val="20"/>
              </w:rPr>
              <w:t>bis</w:t>
            </w:r>
            <w:r w:rsidRPr="00A77794">
              <w:rPr>
                <w:rFonts w:cs="Calibri"/>
                <w:i/>
                <w:iCs/>
                <w:sz w:val="20"/>
                <w:szCs w:val="20"/>
              </w:rPr>
              <w:t>.1 del “Decreto IRAP”</w:t>
            </w:r>
          </w:p>
        </w:tc>
        <w:tc>
          <w:tcPr>
            <w:tcW w:w="36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655E7C1D" w14:textId="77777777" w:rsidR="00D36947" w:rsidRPr="00D36947" w:rsidRDefault="00D36947" w:rsidP="00B2233D">
            <w:pPr>
              <w:pStyle w:val="Paragrafoelenco"/>
              <w:numPr>
                <w:ilvl w:val="0"/>
                <w:numId w:val="19"/>
              </w:numPr>
              <w:spacing w:line="300" w:lineRule="auto"/>
              <w:ind w:left="362" w:hanging="266"/>
              <w:contextualSpacing w:val="0"/>
              <w:jc w:val="both"/>
              <w:rPr>
                <w:rFonts w:cs="Calibri"/>
                <w:sz w:val="20"/>
                <w:szCs w:val="20"/>
              </w:rPr>
            </w:pPr>
            <w:r w:rsidRPr="00D36947">
              <w:rPr>
                <w:rFonts w:cs="Calibri"/>
                <w:sz w:val="20"/>
                <w:szCs w:val="20"/>
              </w:rPr>
              <w:t>la deduzione spetta solo in relazione ai lavoratori dipendenti (a tempo determinato o indeterminato) degli enti non commerciali impiegati nelle attività commerciali e, se promiscuamente impiegati, spetta in misura proporzionale all’attività commerciale svolta;</w:t>
            </w:r>
          </w:p>
          <w:p w14:paraId="74CC3E85" w14:textId="77777777" w:rsidR="00D36947" w:rsidRPr="00D36947" w:rsidRDefault="00D36947" w:rsidP="00B2233D">
            <w:pPr>
              <w:pStyle w:val="Paragrafoelenco"/>
              <w:numPr>
                <w:ilvl w:val="0"/>
                <w:numId w:val="19"/>
              </w:numPr>
              <w:spacing w:before="80" w:line="300" w:lineRule="auto"/>
              <w:ind w:left="365" w:hanging="266"/>
              <w:contextualSpacing w:val="0"/>
              <w:jc w:val="both"/>
              <w:rPr>
                <w:rFonts w:cs="Calibri"/>
                <w:sz w:val="20"/>
                <w:szCs w:val="20"/>
              </w:rPr>
            </w:pPr>
            <w:r w:rsidRPr="00D36947">
              <w:rPr>
                <w:rFonts w:cs="Calibri"/>
                <w:sz w:val="20"/>
                <w:szCs w:val="20"/>
              </w:rPr>
              <w:t>la deduzione è alternativa alla fruizione delle deduzioni di cui all’articolo 11, comma 1, lettera a), nn. 2 e 4 del “Decreto IRAP”;</w:t>
            </w:r>
          </w:p>
          <w:p w14:paraId="5A877A49" w14:textId="78603BF6" w:rsidR="00D36947" w:rsidRPr="00D36947" w:rsidRDefault="00D36947" w:rsidP="00B2233D">
            <w:pPr>
              <w:pStyle w:val="Paragrafoelenco"/>
              <w:numPr>
                <w:ilvl w:val="0"/>
                <w:numId w:val="19"/>
              </w:numPr>
              <w:spacing w:before="80" w:line="300" w:lineRule="auto"/>
              <w:ind w:left="365" w:hanging="266"/>
              <w:contextualSpacing w:val="0"/>
              <w:jc w:val="both"/>
              <w:rPr>
                <w:sz w:val="20"/>
                <w:szCs w:val="20"/>
              </w:rPr>
            </w:pPr>
            <w:r w:rsidRPr="00D36947">
              <w:rPr>
                <w:rFonts w:cs="Calibri"/>
                <w:sz w:val="20"/>
                <w:szCs w:val="20"/>
              </w:rPr>
              <w:t xml:space="preserve">la deduzione, viceversa, può essere cumulata con le deduzioni di cui al medesimo articolo 11, comma 1, </w:t>
            </w:r>
            <w:r w:rsidR="00350D5B">
              <w:rPr>
                <w:rFonts w:cs="Calibri"/>
                <w:sz w:val="20"/>
                <w:szCs w:val="20"/>
              </w:rPr>
              <w:t>lettera</w:t>
            </w:r>
            <w:r w:rsidRPr="00D36947">
              <w:rPr>
                <w:rFonts w:cs="Calibri"/>
                <w:sz w:val="20"/>
                <w:szCs w:val="20"/>
              </w:rPr>
              <w:t xml:space="preserve"> a), n. 1, comma 4-</w:t>
            </w:r>
            <w:r w:rsidRPr="00D36947">
              <w:rPr>
                <w:rFonts w:cs="Calibri"/>
                <w:i/>
                <w:iCs/>
                <w:sz w:val="20"/>
                <w:szCs w:val="20"/>
              </w:rPr>
              <w:t>bis</w:t>
            </w:r>
            <w:r w:rsidRPr="00D36947">
              <w:rPr>
                <w:rFonts w:cs="Calibri"/>
                <w:sz w:val="20"/>
                <w:szCs w:val="20"/>
              </w:rPr>
              <w:t xml:space="preserve"> e 4-</w:t>
            </w:r>
            <w:r w:rsidRPr="00D36947">
              <w:rPr>
                <w:rFonts w:cs="Calibri"/>
                <w:i/>
                <w:iCs/>
                <w:sz w:val="20"/>
                <w:szCs w:val="20"/>
              </w:rPr>
              <w:t>quater</w:t>
            </w:r>
            <w:r w:rsidRPr="00D36947">
              <w:rPr>
                <w:rFonts w:cs="Calibri"/>
                <w:sz w:val="20"/>
                <w:szCs w:val="20"/>
              </w:rPr>
              <w:t>.</w:t>
            </w:r>
          </w:p>
        </w:tc>
      </w:tr>
      <w:tr w:rsidR="00D36947" w14:paraId="1C104521" w14:textId="77777777" w:rsidTr="00B2233D">
        <w:tc>
          <w:tcPr>
            <w:tcW w:w="13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1E9E13E2" w14:textId="77777777" w:rsidR="00D36947" w:rsidRPr="00A77794" w:rsidRDefault="00D36947" w:rsidP="00066554">
            <w:pPr>
              <w:spacing w:line="300" w:lineRule="auto"/>
              <w:jc w:val="center"/>
              <w:rPr>
                <w:rFonts w:cs="Calibri"/>
                <w:i/>
                <w:iCs/>
                <w:sz w:val="20"/>
                <w:szCs w:val="20"/>
              </w:rPr>
            </w:pPr>
            <w:r w:rsidRPr="00A77794">
              <w:rPr>
                <w:rFonts w:cs="Calibri"/>
                <w:i/>
                <w:iCs/>
                <w:sz w:val="20"/>
                <w:szCs w:val="20"/>
              </w:rPr>
              <w:t>Articolo 11, comma 4-</w:t>
            </w:r>
            <w:r w:rsidRPr="00A77794">
              <w:rPr>
                <w:rFonts w:cs="Calibri"/>
                <w:sz w:val="20"/>
                <w:szCs w:val="20"/>
              </w:rPr>
              <w:t>quater</w:t>
            </w:r>
            <w:r w:rsidRPr="00A77794">
              <w:rPr>
                <w:rFonts w:cs="Calibri"/>
                <w:i/>
                <w:iCs/>
                <w:sz w:val="20"/>
                <w:szCs w:val="20"/>
              </w:rPr>
              <w:t xml:space="preserve"> del “Decreto IRAP”</w:t>
            </w:r>
          </w:p>
          <w:p w14:paraId="316D89D0" w14:textId="77777777" w:rsidR="00D36947" w:rsidRPr="00A77794" w:rsidRDefault="00D36947" w:rsidP="00066554">
            <w:pPr>
              <w:spacing w:line="300" w:lineRule="auto"/>
              <w:jc w:val="center"/>
              <w:rPr>
                <w:rFonts w:cs="Calibri"/>
                <w:i/>
                <w:iCs/>
                <w:sz w:val="20"/>
                <w:szCs w:val="20"/>
              </w:rPr>
            </w:pPr>
          </w:p>
        </w:tc>
        <w:tc>
          <w:tcPr>
            <w:tcW w:w="36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524CB9B1" w14:textId="77777777" w:rsidR="00D36947" w:rsidRPr="00D36947" w:rsidRDefault="00D36947" w:rsidP="00B2233D">
            <w:pPr>
              <w:pStyle w:val="Paragrafoelenco"/>
              <w:numPr>
                <w:ilvl w:val="0"/>
                <w:numId w:val="19"/>
              </w:numPr>
              <w:spacing w:line="300" w:lineRule="auto"/>
              <w:ind w:left="362" w:hanging="266"/>
              <w:contextualSpacing w:val="0"/>
              <w:jc w:val="both"/>
              <w:rPr>
                <w:rFonts w:cs="Calibri"/>
                <w:sz w:val="20"/>
                <w:szCs w:val="20"/>
              </w:rPr>
            </w:pPr>
            <w:r w:rsidRPr="00D36947">
              <w:rPr>
                <w:rFonts w:cs="Calibri"/>
                <w:sz w:val="20"/>
                <w:szCs w:val="20"/>
              </w:rPr>
              <w:t>la deduzione spetta solo in relazione alle nuove assunzioni fatte da enti non commerciali di lavoratori dipendenti a tempo indeterminato impiegati nelle attività commerciali, se promiscuamente impiegati, spetta in misura proporzionale all’attività commerciale svolta;</w:t>
            </w:r>
          </w:p>
          <w:p w14:paraId="647C9FED" w14:textId="77777777" w:rsidR="00D36947" w:rsidRPr="00D36947" w:rsidRDefault="00D36947" w:rsidP="00B2233D">
            <w:pPr>
              <w:pStyle w:val="Paragrafoelenco"/>
              <w:numPr>
                <w:ilvl w:val="0"/>
                <w:numId w:val="19"/>
              </w:numPr>
              <w:spacing w:before="80" w:line="300" w:lineRule="auto"/>
              <w:ind w:left="365" w:hanging="266"/>
              <w:contextualSpacing w:val="0"/>
              <w:jc w:val="both"/>
              <w:rPr>
                <w:rFonts w:cs="Calibri"/>
                <w:sz w:val="20"/>
                <w:szCs w:val="20"/>
              </w:rPr>
            </w:pPr>
            <w:r w:rsidRPr="00D36947">
              <w:rPr>
                <w:rFonts w:cs="Calibri"/>
                <w:sz w:val="20"/>
                <w:szCs w:val="20"/>
              </w:rPr>
              <w:t>la deduzione può essere cumulata alle altre deduzioni previste dall’articolo 11 del “Decreto IRAP”.</w:t>
            </w:r>
          </w:p>
        </w:tc>
      </w:tr>
      <w:tr w:rsidR="00D36947" w14:paraId="18FFCA4A" w14:textId="77777777" w:rsidTr="00B2233D">
        <w:tc>
          <w:tcPr>
            <w:tcW w:w="13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3738CA65" w14:textId="77777777" w:rsidR="00D36947" w:rsidRPr="00A77794" w:rsidRDefault="00D36947" w:rsidP="00066554">
            <w:pPr>
              <w:spacing w:line="300" w:lineRule="auto"/>
              <w:jc w:val="center"/>
              <w:rPr>
                <w:rFonts w:cs="Calibri"/>
                <w:i/>
                <w:iCs/>
                <w:sz w:val="20"/>
                <w:szCs w:val="20"/>
              </w:rPr>
            </w:pPr>
            <w:r w:rsidRPr="00A77794">
              <w:rPr>
                <w:rFonts w:cs="Calibri"/>
                <w:i/>
                <w:iCs/>
                <w:sz w:val="20"/>
                <w:szCs w:val="20"/>
              </w:rPr>
              <w:t>Articolo 11, comma 4-</w:t>
            </w:r>
            <w:r w:rsidRPr="00A77794">
              <w:rPr>
                <w:rFonts w:cs="Calibri"/>
                <w:sz w:val="20"/>
                <w:szCs w:val="20"/>
              </w:rPr>
              <w:t>octies</w:t>
            </w:r>
            <w:r w:rsidRPr="00A77794">
              <w:rPr>
                <w:rFonts w:cs="Calibri"/>
                <w:i/>
                <w:iCs/>
                <w:sz w:val="20"/>
                <w:szCs w:val="20"/>
              </w:rPr>
              <w:t xml:space="preserve"> del “Decreto IRAP”</w:t>
            </w:r>
          </w:p>
          <w:p w14:paraId="18B96281" w14:textId="77777777" w:rsidR="00D36947" w:rsidRPr="00A77794" w:rsidRDefault="00D36947" w:rsidP="00066554">
            <w:pPr>
              <w:spacing w:line="300" w:lineRule="auto"/>
              <w:jc w:val="center"/>
              <w:rPr>
                <w:rFonts w:cs="Calibri"/>
                <w:i/>
                <w:iCs/>
                <w:sz w:val="20"/>
                <w:szCs w:val="20"/>
              </w:rPr>
            </w:pPr>
          </w:p>
        </w:tc>
        <w:tc>
          <w:tcPr>
            <w:tcW w:w="3650" w:type="pct"/>
            <w:tcBorders>
              <w:top w:val="single" w:sz="4" w:space="0" w:color="1F3864"/>
              <w:left w:val="nil"/>
              <w:bottom w:val="single" w:sz="4" w:space="0" w:color="1F3864"/>
              <w:right w:val="nil"/>
            </w:tcBorders>
            <w:tcMar>
              <w:top w:w="57" w:type="dxa"/>
              <w:left w:w="57" w:type="dxa"/>
              <w:bottom w:w="57" w:type="dxa"/>
              <w:right w:w="57" w:type="dxa"/>
            </w:tcMar>
            <w:vAlign w:val="center"/>
          </w:tcPr>
          <w:p w14:paraId="1B04B23A" w14:textId="25782DFE" w:rsidR="00D36947" w:rsidRPr="00D36947" w:rsidRDefault="00D36947" w:rsidP="00B2233D">
            <w:pPr>
              <w:pStyle w:val="Paragrafoelenco"/>
              <w:numPr>
                <w:ilvl w:val="0"/>
                <w:numId w:val="19"/>
              </w:numPr>
              <w:spacing w:line="300" w:lineRule="auto"/>
              <w:ind w:left="362" w:hanging="266"/>
              <w:contextualSpacing w:val="0"/>
              <w:jc w:val="both"/>
              <w:rPr>
                <w:rFonts w:cs="Calibri"/>
                <w:sz w:val="20"/>
                <w:szCs w:val="20"/>
              </w:rPr>
            </w:pPr>
            <w:r w:rsidRPr="00D36947">
              <w:rPr>
                <w:rFonts w:cs="Calibri"/>
                <w:sz w:val="20"/>
                <w:szCs w:val="20"/>
              </w:rPr>
              <w:t>la deduzione spetta solo in relazione alla differenza tra il costo complessivo per il personale dipendente con contratto a tempo indeterminato e le deduzioni spettanti ai sensi dei co</w:t>
            </w:r>
            <w:r w:rsidR="00350D5B">
              <w:rPr>
                <w:rFonts w:cs="Calibri"/>
                <w:sz w:val="20"/>
                <w:szCs w:val="20"/>
              </w:rPr>
              <w:t>mmi</w:t>
            </w:r>
            <w:r w:rsidRPr="00D36947">
              <w:rPr>
                <w:rFonts w:cs="Calibri"/>
                <w:sz w:val="20"/>
                <w:szCs w:val="20"/>
              </w:rPr>
              <w:t xml:space="preserve"> 1, lettera a), 1-</w:t>
            </w:r>
            <w:r w:rsidRPr="00350D5B">
              <w:rPr>
                <w:rFonts w:cs="Calibri"/>
                <w:i/>
                <w:iCs/>
                <w:sz w:val="20"/>
                <w:szCs w:val="20"/>
              </w:rPr>
              <w:t>bis</w:t>
            </w:r>
            <w:r w:rsidRPr="00D36947">
              <w:rPr>
                <w:rFonts w:cs="Calibri"/>
                <w:sz w:val="20"/>
                <w:szCs w:val="20"/>
              </w:rPr>
              <w:t>), 4-</w:t>
            </w:r>
            <w:r w:rsidRPr="00350D5B">
              <w:rPr>
                <w:rFonts w:cs="Calibri"/>
                <w:i/>
                <w:iCs/>
                <w:sz w:val="20"/>
                <w:szCs w:val="20"/>
              </w:rPr>
              <w:t>bis</w:t>
            </w:r>
            <w:r w:rsidRPr="00D36947">
              <w:rPr>
                <w:rFonts w:cs="Calibri"/>
                <w:sz w:val="20"/>
                <w:szCs w:val="20"/>
              </w:rPr>
              <w:t>.1 e 4-</w:t>
            </w:r>
            <w:r w:rsidRPr="00350D5B">
              <w:rPr>
                <w:rFonts w:cs="Calibri"/>
                <w:i/>
                <w:iCs/>
                <w:sz w:val="20"/>
                <w:szCs w:val="20"/>
              </w:rPr>
              <w:t>quater</w:t>
            </w:r>
            <w:r w:rsidRPr="00D36947">
              <w:rPr>
                <w:rFonts w:cs="Calibri"/>
                <w:sz w:val="20"/>
                <w:szCs w:val="20"/>
              </w:rPr>
              <w:t xml:space="preserve"> dell’articolo 11 del “Decreto IRAP”;</w:t>
            </w:r>
          </w:p>
          <w:p w14:paraId="1E3619DD" w14:textId="77777777" w:rsidR="00D36947" w:rsidRPr="00D36947" w:rsidRDefault="00D36947" w:rsidP="00B2233D">
            <w:pPr>
              <w:pStyle w:val="Paragrafoelenco"/>
              <w:numPr>
                <w:ilvl w:val="0"/>
                <w:numId w:val="19"/>
              </w:numPr>
              <w:spacing w:before="80" w:line="300" w:lineRule="auto"/>
              <w:ind w:left="365" w:hanging="266"/>
              <w:contextualSpacing w:val="0"/>
              <w:jc w:val="both"/>
              <w:rPr>
                <w:rFonts w:cs="Calibri"/>
                <w:sz w:val="20"/>
                <w:szCs w:val="20"/>
              </w:rPr>
            </w:pPr>
            <w:r w:rsidRPr="00D36947">
              <w:rPr>
                <w:rFonts w:cs="Calibri"/>
                <w:sz w:val="20"/>
                <w:szCs w:val="20"/>
              </w:rPr>
              <w:t>la deduzione spetta esclusivamente in relazione all’attività commerciale eventualmente svolta dall’ente;</w:t>
            </w:r>
          </w:p>
          <w:p w14:paraId="1C8AEF01" w14:textId="77777777" w:rsidR="00D36947" w:rsidRPr="00D36947" w:rsidRDefault="00D36947" w:rsidP="00B2233D">
            <w:pPr>
              <w:pStyle w:val="Paragrafoelenco"/>
              <w:numPr>
                <w:ilvl w:val="0"/>
                <w:numId w:val="19"/>
              </w:numPr>
              <w:spacing w:before="80" w:line="300" w:lineRule="auto"/>
              <w:ind w:left="365" w:hanging="266"/>
              <w:contextualSpacing w:val="0"/>
              <w:jc w:val="both"/>
              <w:rPr>
                <w:sz w:val="20"/>
                <w:szCs w:val="20"/>
              </w:rPr>
            </w:pPr>
            <w:r w:rsidRPr="00D36947">
              <w:rPr>
                <w:rFonts w:cs="Calibri"/>
                <w:sz w:val="20"/>
                <w:szCs w:val="20"/>
              </w:rPr>
              <w:t>la deduzione può essere cumulata alle altre deduzioni previste dall’articolo 11 del “Decreto IRAP”.</w:t>
            </w:r>
          </w:p>
        </w:tc>
      </w:tr>
    </w:tbl>
    <w:p w14:paraId="20A6E653" w14:textId="77777777" w:rsidR="00BA56FC" w:rsidRPr="00BA56FC" w:rsidRDefault="00BA56FC" w:rsidP="00BA56FC">
      <w:pPr>
        <w:spacing w:after="120" w:line="300" w:lineRule="auto"/>
        <w:jc w:val="both"/>
        <w:rPr>
          <w:rFonts w:ascii="Calibri" w:hAnsi="Calibri" w:cs="Calibri"/>
        </w:rPr>
      </w:pPr>
    </w:p>
    <w:sectPr w:rsidR="00BA56FC" w:rsidRPr="00BA56FC" w:rsidSect="00633A09">
      <w:footerReference w:type="first" r:id="rId13"/>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3071A" w14:textId="77777777" w:rsidR="007D7D90" w:rsidRDefault="007D7D90" w:rsidP="00D0513B">
      <w:pPr>
        <w:spacing w:after="0" w:line="240" w:lineRule="auto"/>
      </w:pPr>
      <w:r>
        <w:separator/>
      </w:r>
    </w:p>
  </w:endnote>
  <w:endnote w:type="continuationSeparator" w:id="0">
    <w:p w14:paraId="764C5CC1" w14:textId="77777777" w:rsidR="007D7D90" w:rsidRDefault="007D7D90" w:rsidP="00D05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font290">
    <w:altName w:val="Calibri"/>
    <w:charset w:val="00"/>
    <w:family w:val="auto"/>
    <w:pitch w:val="variable"/>
  </w:font>
  <w:font w:name="font265">
    <w:altName w:val="Calibri"/>
    <w:charset w:val="00"/>
    <w:family w:val="auto"/>
    <w:pitch w:val="variable"/>
  </w:font>
  <w:font w:name="font269">
    <w:altName w:val="Calibri"/>
    <w:charset w:val="00"/>
    <w:family w:val="auto"/>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931819"/>
      <w:docPartObj>
        <w:docPartGallery w:val="Page Numbers (Bottom of Page)"/>
        <w:docPartUnique/>
      </w:docPartObj>
    </w:sdtPr>
    <w:sdtEndPr/>
    <w:sdtContent>
      <w:p w14:paraId="17BECA0B" w14:textId="77777777" w:rsidR="00AE741A" w:rsidRDefault="00AE741A" w:rsidP="00042F68">
        <w:pPr>
          <w:pStyle w:val="Pidipagina"/>
          <w:jc w:val="right"/>
        </w:pPr>
        <w:r>
          <w:fldChar w:fldCharType="begin"/>
        </w:r>
        <w:r>
          <w:instrText>PAGE   \* MERGEFORMAT</w:instrText>
        </w:r>
        <w:r>
          <w:fldChar w:fldCharType="separate"/>
        </w:r>
        <w:r w:rsidR="00CD1F79">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73285" w14:textId="77777777" w:rsidR="00AE741A" w:rsidRDefault="00AE741A">
    <w:pPr>
      <w:pStyle w:val="Pidipagina"/>
    </w:pPr>
    <w:r>
      <w:rPr>
        <w:noProof/>
        <w:lang w:eastAsia="it-IT"/>
      </w:rPr>
      <w:drawing>
        <wp:anchor distT="0" distB="0" distL="114300" distR="114300" simplePos="0" relativeHeight="251654656" behindDoc="0" locked="0" layoutInCell="1" allowOverlap="1" wp14:anchorId="4C26B0F4" wp14:editId="035F583C">
          <wp:simplePos x="0" y="0"/>
          <wp:positionH relativeFrom="column">
            <wp:posOffset>4177030</wp:posOffset>
          </wp:positionH>
          <wp:positionV relativeFrom="paragraph">
            <wp:posOffset>-1945005</wp:posOffset>
          </wp:positionV>
          <wp:extent cx="2872800" cy="2721600"/>
          <wp:effectExtent l="0" t="0" r="3810" b="3175"/>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800" cy="2721600"/>
                  </a:xfrm>
                  <a:prstGeom prst="rect">
                    <a:avLst/>
                  </a:prstGeom>
                  <a:noFill/>
                  <a:ln>
                    <a:noFill/>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3F865" w14:textId="77777777" w:rsidR="00AE741A" w:rsidRDefault="00AE741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9AC3FE" w14:textId="77777777" w:rsidR="007D7D90" w:rsidRDefault="007D7D90" w:rsidP="00D0513B">
      <w:pPr>
        <w:spacing w:after="0" w:line="240" w:lineRule="auto"/>
      </w:pPr>
      <w:r>
        <w:separator/>
      </w:r>
    </w:p>
  </w:footnote>
  <w:footnote w:type="continuationSeparator" w:id="0">
    <w:p w14:paraId="00E35CF0" w14:textId="77777777" w:rsidR="007D7D90" w:rsidRDefault="007D7D90" w:rsidP="00D0513B">
      <w:pPr>
        <w:spacing w:after="0" w:line="240" w:lineRule="auto"/>
      </w:pPr>
      <w:r>
        <w:continuationSeparator/>
      </w:r>
    </w:p>
  </w:footnote>
  <w:footnote w:id="1">
    <w:p w14:paraId="51D0D75D" w14:textId="6385831F" w:rsidR="003C4137" w:rsidRDefault="003C4137" w:rsidP="00D36947">
      <w:pPr>
        <w:pStyle w:val="Testonotaapidipagina"/>
      </w:pPr>
      <w:r w:rsidRPr="00D36947">
        <w:rPr>
          <w:rStyle w:val="Rimandonotaapidipagina"/>
        </w:rPr>
        <w:footnoteRef/>
      </w:r>
      <w:r w:rsidRPr="00D36947">
        <w:t xml:space="preserve"> In particolare, come chiarito con la circolare 19 novembre 2007, paragrafo n. 1.3, si tratta delle amministrazioni dello Stato, ivi compresi gli istituti e scuole di ogni ordine e grado e le istituzioni educative, le aziende e le amministrazioni dello Stato ad ordinamento autonomo, le regioni, le province i comuni, le comunità montane e loro consorzi ed associazioni, le istituzioni universitarie, gli Istituti autonomi case popolari, le Camere di commercio, industria, artigianato ed agricoltura e loro associazioni, tutti gli enti pubblici non economici nazionali, regionali e locali, le amministrazioni, le aziende e gli enti del servizio sanitario nazionale, l’Agenzia per la rappresentanza negoziale delle pubbliche amministrazioni (Aran) e le Agenzie di cui al D.lgs. 30 luglio 1999, n. 300.</w:t>
      </w:r>
    </w:p>
  </w:footnote>
  <w:footnote w:id="2">
    <w:p w14:paraId="5F89ECAB" w14:textId="2A79F6F6" w:rsidR="00AB5F77" w:rsidRDefault="00AB5F77" w:rsidP="00D36947">
      <w:pPr>
        <w:pStyle w:val="Testonotaapidipagina"/>
      </w:pPr>
      <w:r>
        <w:rPr>
          <w:rStyle w:val="Rimandonotaapidipagina"/>
        </w:rPr>
        <w:footnoteRef/>
      </w:r>
      <w:r>
        <w:t xml:space="preserve"> Cfr. </w:t>
      </w:r>
      <w:r w:rsidRPr="00AB5F77">
        <w:t>risoluzione 19 maggio 2008, n. 203/E</w:t>
      </w:r>
      <w:r w:rsidR="00FB3E03">
        <w:t>.</w:t>
      </w:r>
    </w:p>
  </w:footnote>
  <w:footnote w:id="3">
    <w:p w14:paraId="41C84175" w14:textId="24040540" w:rsidR="00FB3E03" w:rsidRDefault="00FB3E03" w:rsidP="00D36947">
      <w:pPr>
        <w:pStyle w:val="Testonotaapidipagina"/>
      </w:pPr>
      <w:r>
        <w:rPr>
          <w:rStyle w:val="Rimandonotaapidipagina"/>
        </w:rPr>
        <w:footnoteRef/>
      </w:r>
      <w:r>
        <w:t xml:space="preserve"> Cfr. </w:t>
      </w:r>
      <w:r w:rsidRPr="00FB3E03">
        <w:t>risoluzione 4 aprile 2008, n. 132/E</w:t>
      </w:r>
      <w:r>
        <w:t>.</w:t>
      </w:r>
    </w:p>
  </w:footnote>
  <w:footnote w:id="4">
    <w:p w14:paraId="3BA639C7" w14:textId="61ABEE1C" w:rsidR="00FB3E03" w:rsidRDefault="00FB3E03" w:rsidP="00D36947">
      <w:pPr>
        <w:pStyle w:val="Testonotaapidipagina"/>
      </w:pPr>
      <w:r>
        <w:rPr>
          <w:rStyle w:val="Rimandonotaapidipagina"/>
        </w:rPr>
        <w:footnoteRef/>
      </w:r>
      <w:r>
        <w:t xml:space="preserve"> Cfr. </w:t>
      </w:r>
      <w:r w:rsidRPr="00FB3E03">
        <w:t>circolare 19 novembre 2007, n. 61/E, paragrafo 1.2</w:t>
      </w:r>
      <w:r>
        <w:t>.</w:t>
      </w:r>
    </w:p>
  </w:footnote>
  <w:footnote w:id="5">
    <w:p w14:paraId="7D298732" w14:textId="58C9FE2C" w:rsidR="007068CC" w:rsidRDefault="007068CC" w:rsidP="00D36947">
      <w:pPr>
        <w:pStyle w:val="Testonotaapidipagina"/>
      </w:pPr>
      <w:r>
        <w:rPr>
          <w:rStyle w:val="Rimandonotaapidipagina"/>
        </w:rPr>
        <w:footnoteRef/>
      </w:r>
      <w:r>
        <w:t xml:space="preserve"> Cfr. </w:t>
      </w:r>
      <w:r w:rsidRPr="007068CC">
        <w:t>circolare 19 novembre 2007, n. 61/E, paragrafo 1.4</w:t>
      </w:r>
    </w:p>
  </w:footnote>
  <w:footnote w:id="6">
    <w:p w14:paraId="16324223" w14:textId="0B5BADAC" w:rsidR="00F87C6D" w:rsidRDefault="00F87C6D" w:rsidP="00D36947">
      <w:pPr>
        <w:pStyle w:val="Testonotaapidipagina"/>
      </w:pPr>
      <w:r>
        <w:rPr>
          <w:rStyle w:val="Rimandonotaapidipagina"/>
        </w:rPr>
        <w:footnoteRef/>
      </w:r>
      <w:r>
        <w:t xml:space="preserve"> Cfr. </w:t>
      </w:r>
      <w:r w:rsidRPr="00F87C6D">
        <w:t>circolare 19 novembre 2007, n. 61/E, paragrafo 1.5</w:t>
      </w:r>
      <w:r>
        <w:t>.</w:t>
      </w:r>
    </w:p>
  </w:footnote>
  <w:footnote w:id="7">
    <w:p w14:paraId="5D7361F6" w14:textId="6B9E5251" w:rsidR="00C25939" w:rsidRDefault="00C25939" w:rsidP="00D36947">
      <w:pPr>
        <w:pStyle w:val="Testonotaapidipagina"/>
      </w:pPr>
      <w:r>
        <w:rPr>
          <w:rStyle w:val="Rimandonotaapidipagina"/>
        </w:rPr>
        <w:footnoteRef/>
      </w:r>
      <w:r>
        <w:t xml:space="preserve"> Cfr. </w:t>
      </w:r>
      <w:r w:rsidRPr="00C25939">
        <w:t>circolare 19 novembre 2007, n. 61/E, par. 1.2.2</w:t>
      </w:r>
      <w:r>
        <w:t>.</w:t>
      </w:r>
    </w:p>
  </w:footnote>
  <w:footnote w:id="8">
    <w:p w14:paraId="044C3EE4" w14:textId="77777777" w:rsidR="00C25939" w:rsidRDefault="00C25939" w:rsidP="00D36947">
      <w:pPr>
        <w:pStyle w:val="Testonotaapidipagina"/>
      </w:pPr>
      <w:r>
        <w:rPr>
          <w:rStyle w:val="Rimandonotaapidipagina"/>
        </w:rPr>
        <w:footnoteRef/>
      </w:r>
      <w:r>
        <w:t xml:space="preserve"> </w:t>
      </w:r>
      <w:r w:rsidRPr="00B156E8">
        <w:t>Così, per esempio, i titolari di reddito d’impresa si avvalgono della deduzione in base al principio di competenza, mentre gli esercenti arti o professioni in base al criterio di cassa.</w:t>
      </w:r>
      <w:r>
        <w:t xml:space="preserve"> Cfr., sul punto, </w:t>
      </w:r>
      <w:r w:rsidRPr="00B156E8">
        <w:t>risoluzione 28 ottobre 2009, n. 265/E.</w:t>
      </w:r>
    </w:p>
  </w:footnote>
  <w:footnote w:id="9">
    <w:p w14:paraId="2D0075CB" w14:textId="79B07424" w:rsidR="00C25939" w:rsidRDefault="00C25939" w:rsidP="00D36947">
      <w:pPr>
        <w:pStyle w:val="Testonotaapidipagina"/>
      </w:pPr>
      <w:r>
        <w:rPr>
          <w:rStyle w:val="Rimandonotaapidipagina"/>
        </w:rPr>
        <w:footnoteRef/>
      </w:r>
      <w:r>
        <w:t xml:space="preserve"> Cfr. </w:t>
      </w:r>
      <w:r w:rsidRPr="00C25939">
        <w:t>risoluzione 4 aprile 2008, n. 132/E</w:t>
      </w:r>
      <w:r>
        <w:t>.</w:t>
      </w:r>
    </w:p>
  </w:footnote>
  <w:footnote w:id="10">
    <w:p w14:paraId="5FD57F86" w14:textId="67E83FA9" w:rsidR="00700596" w:rsidRPr="00700596" w:rsidRDefault="00700596" w:rsidP="00D36947">
      <w:pPr>
        <w:pStyle w:val="Testonotaapidipagina"/>
      </w:pPr>
      <w:r>
        <w:rPr>
          <w:rStyle w:val="Rimandonotaapidipagina"/>
        </w:rPr>
        <w:footnoteRef/>
      </w:r>
      <w:r>
        <w:t xml:space="preserve"> Vd. infra.</w:t>
      </w:r>
    </w:p>
  </w:footnote>
  <w:footnote w:id="11">
    <w:p w14:paraId="329EFF15" w14:textId="24F69744" w:rsidR="006804F6" w:rsidRDefault="006804F6" w:rsidP="00D36947">
      <w:pPr>
        <w:pStyle w:val="Testonotaapidipagina"/>
      </w:pPr>
      <w:r>
        <w:rPr>
          <w:rStyle w:val="Rimandonotaapidipagina"/>
        </w:rPr>
        <w:footnoteRef/>
      </w:r>
      <w:r>
        <w:t xml:space="preserve"> L</w:t>
      </w:r>
      <w:r w:rsidRPr="006804F6">
        <w:t>a disposizione fa, infatti, esclusivo riferimento alle deduzioni di cui all’articolo 11, comma 1, lett. a) n. 2) e 4-</w:t>
      </w:r>
      <w:r w:rsidRPr="006804F6">
        <w:rPr>
          <w:i/>
          <w:iCs/>
        </w:rPr>
        <w:t>bis</w:t>
      </w:r>
      <w:r w:rsidRPr="006804F6">
        <w:t>.1</w:t>
      </w:r>
      <w:r>
        <w:t>.</w:t>
      </w:r>
    </w:p>
  </w:footnote>
  <w:footnote w:id="12">
    <w:p w14:paraId="1748175F" w14:textId="66CE7A6F" w:rsidR="006804F6" w:rsidRDefault="006804F6" w:rsidP="00D36947">
      <w:pPr>
        <w:pStyle w:val="Testonotaapidipagina"/>
      </w:pPr>
      <w:r>
        <w:rPr>
          <w:rStyle w:val="Rimandonotaapidipagina"/>
        </w:rPr>
        <w:footnoteRef/>
      </w:r>
      <w:r>
        <w:t xml:space="preserve"> Cfr. </w:t>
      </w:r>
      <w:r w:rsidRPr="006804F6">
        <w:t>circolare 19 novembre 2007, n. 61/E, par. 1.2.2</w:t>
      </w:r>
      <w:r>
        <w:t>.</w:t>
      </w:r>
    </w:p>
  </w:footnote>
  <w:footnote w:id="13">
    <w:p w14:paraId="5EC8F9AA" w14:textId="52F04A2C" w:rsidR="006804F6" w:rsidRDefault="006804F6" w:rsidP="00D36947">
      <w:pPr>
        <w:pStyle w:val="Testonotaapidipagina"/>
      </w:pPr>
      <w:r>
        <w:rPr>
          <w:rStyle w:val="Rimandonotaapidipagina"/>
        </w:rPr>
        <w:footnoteRef/>
      </w:r>
      <w:r>
        <w:t xml:space="preserve"> Cfr. </w:t>
      </w:r>
      <w:r w:rsidRPr="006804F6">
        <w:t>circolare 19 novembre 2007, n. 61/E, paragrafo 1.5</w:t>
      </w:r>
      <w:r>
        <w:t>.</w:t>
      </w:r>
    </w:p>
  </w:footnote>
  <w:footnote w:id="14">
    <w:p w14:paraId="582C6F08" w14:textId="58D17042" w:rsidR="00101FDB" w:rsidRDefault="00101FDB" w:rsidP="00D36947">
      <w:pPr>
        <w:pStyle w:val="Testonotaapidipagina"/>
      </w:pPr>
      <w:r>
        <w:rPr>
          <w:rStyle w:val="Rimandonotaapidipagina"/>
        </w:rPr>
        <w:footnoteRef/>
      </w:r>
      <w:r>
        <w:t xml:space="preserve"> V</w:t>
      </w:r>
      <w:r w:rsidRPr="00101FDB">
        <w:t xml:space="preserve">edi </w:t>
      </w:r>
      <w:r w:rsidRPr="00101FDB">
        <w:rPr>
          <w:i/>
          <w:iCs/>
        </w:rPr>
        <w:t>infra</w:t>
      </w:r>
      <w:r>
        <w:t>.</w:t>
      </w:r>
    </w:p>
  </w:footnote>
  <w:footnote w:id="15">
    <w:p w14:paraId="45A7DF20" w14:textId="6B7C2A5D" w:rsidR="005240D9" w:rsidRDefault="005240D9" w:rsidP="00D36947">
      <w:pPr>
        <w:pStyle w:val="Testonotaapidipagina"/>
      </w:pPr>
      <w:r>
        <w:rPr>
          <w:rStyle w:val="Rimandonotaapidipagina"/>
        </w:rPr>
        <w:footnoteRef/>
      </w:r>
      <w:r>
        <w:t xml:space="preserve"> Cfr. </w:t>
      </w:r>
      <w:r w:rsidRPr="005240D9">
        <w:t>circolare 16 marzo 2005, n. 10/E, par. 1.4 e circolare 5 aprile 2005, n. 13/E, par. 1.1</w:t>
      </w:r>
      <w:r>
        <w:t>.</w:t>
      </w:r>
    </w:p>
  </w:footnote>
  <w:footnote w:id="16">
    <w:p w14:paraId="48A7B669" w14:textId="20232789" w:rsidR="006A5451" w:rsidRDefault="006A5451" w:rsidP="00D36947">
      <w:pPr>
        <w:pStyle w:val="Testonotaapidipagina"/>
      </w:pPr>
      <w:r>
        <w:rPr>
          <w:rStyle w:val="Rimandonotaapidipagina"/>
        </w:rPr>
        <w:footnoteRef/>
      </w:r>
      <w:r>
        <w:t xml:space="preserve"> Cfr. </w:t>
      </w:r>
      <w:r w:rsidRPr="006A5451">
        <w:t>risoluzione 13 dicembre 2006, n. 138/E</w:t>
      </w:r>
      <w:r>
        <w:t>.</w:t>
      </w:r>
    </w:p>
  </w:footnote>
  <w:footnote w:id="17">
    <w:p w14:paraId="58D85895" w14:textId="23460742" w:rsidR="006A5451" w:rsidRDefault="006A5451" w:rsidP="00D36947">
      <w:pPr>
        <w:pStyle w:val="Testonotaapidipagina"/>
      </w:pPr>
      <w:r>
        <w:rPr>
          <w:rStyle w:val="Rimandonotaapidipagina"/>
        </w:rPr>
        <w:footnoteRef/>
      </w:r>
      <w:r>
        <w:t xml:space="preserve"> Cfr. </w:t>
      </w:r>
      <w:r w:rsidRPr="006A5451">
        <w:t>risoluzione 16 giugno 2006, n. 82/E.</w:t>
      </w:r>
    </w:p>
  </w:footnote>
  <w:footnote w:id="18">
    <w:p w14:paraId="6FC72FFC" w14:textId="0B6B3FD6" w:rsidR="006A5451" w:rsidRDefault="006A5451" w:rsidP="00D36947">
      <w:pPr>
        <w:pStyle w:val="Testonotaapidipagina"/>
      </w:pPr>
      <w:r>
        <w:rPr>
          <w:rStyle w:val="Rimandonotaapidipagina"/>
        </w:rPr>
        <w:footnoteRef/>
      </w:r>
      <w:r>
        <w:t xml:space="preserve"> Cfr. </w:t>
      </w:r>
      <w:r w:rsidRPr="006A5451">
        <w:t>circolare 19 novembre 2007, n. 61/E, paragrafo 1.5</w:t>
      </w:r>
      <w:r>
        <w:t>.</w:t>
      </w:r>
    </w:p>
  </w:footnote>
  <w:footnote w:id="19">
    <w:p w14:paraId="0A3FFA85" w14:textId="654BE075" w:rsidR="00B66FCF" w:rsidRPr="00B66FCF" w:rsidRDefault="00B66FCF" w:rsidP="00D36947">
      <w:pPr>
        <w:pStyle w:val="Testonotaapidipagina"/>
      </w:pPr>
      <w:r>
        <w:rPr>
          <w:rStyle w:val="Rimandonotaapidipagina"/>
        </w:rPr>
        <w:footnoteRef/>
      </w:r>
      <w:r>
        <w:t xml:space="preserve"> Vd. infra.</w:t>
      </w:r>
    </w:p>
  </w:footnote>
  <w:footnote w:id="20">
    <w:p w14:paraId="7BBFAAC4" w14:textId="064EFCB4" w:rsidR="003E0EED" w:rsidRDefault="003E0EED" w:rsidP="00D36947">
      <w:pPr>
        <w:pStyle w:val="Testonotaapidipagina"/>
      </w:pPr>
      <w:r>
        <w:rPr>
          <w:rStyle w:val="Rimandonotaapidipagina"/>
        </w:rPr>
        <w:footnoteRef/>
      </w:r>
      <w:r>
        <w:t xml:space="preserve"> Cfr. </w:t>
      </w:r>
      <w:r w:rsidRPr="003E0EED">
        <w:t>circolare 19 novembre 2007, n. 61/E, par. 2</w:t>
      </w:r>
      <w:r>
        <w:t>.</w:t>
      </w:r>
    </w:p>
  </w:footnote>
  <w:footnote w:id="21">
    <w:p w14:paraId="7A6501D3" w14:textId="5B9BFECD" w:rsidR="00337BFE" w:rsidRDefault="00337BFE" w:rsidP="00D36947">
      <w:pPr>
        <w:pStyle w:val="Testonotaapidipagina"/>
      </w:pPr>
      <w:r>
        <w:rPr>
          <w:rStyle w:val="Rimandonotaapidipagina"/>
        </w:rPr>
        <w:footnoteRef/>
      </w:r>
      <w:r>
        <w:t xml:space="preserve"> Cfr. </w:t>
      </w:r>
      <w:r w:rsidRPr="00337BFE">
        <w:t>circolare 19 novembre 2007, n. 61/E, paragrafo 1.4</w:t>
      </w:r>
      <w:r>
        <w:t>.</w:t>
      </w:r>
    </w:p>
  </w:footnote>
  <w:footnote w:id="22">
    <w:p w14:paraId="5AD80BC3" w14:textId="3DCE9401" w:rsidR="00D57617" w:rsidRDefault="00D57617" w:rsidP="00D36947">
      <w:pPr>
        <w:pStyle w:val="Testonotaapidipagina"/>
      </w:pPr>
      <w:r>
        <w:rPr>
          <w:rStyle w:val="Rimandonotaapidipagina"/>
        </w:rPr>
        <w:footnoteRef/>
      </w:r>
      <w:r>
        <w:t xml:space="preserve"> Cfr. </w:t>
      </w:r>
      <w:r w:rsidRPr="00D57617">
        <w:t>circolare 19 novembre 2007, n. 61/E, paragrafo 1.5</w:t>
      </w:r>
      <w:r>
        <w:t>.</w:t>
      </w:r>
    </w:p>
  </w:footnote>
  <w:footnote w:id="23">
    <w:p w14:paraId="1015F960" w14:textId="2C996237" w:rsidR="00DA25D4" w:rsidRDefault="00DA25D4" w:rsidP="00D36947">
      <w:pPr>
        <w:pStyle w:val="Testonotaapidipagina"/>
      </w:pPr>
      <w:r>
        <w:rPr>
          <w:rStyle w:val="Rimandonotaapidipagina"/>
        </w:rPr>
        <w:footnoteRef/>
      </w:r>
      <w:r>
        <w:t xml:space="preserve"> Cfr. </w:t>
      </w:r>
      <w:r w:rsidRPr="00DA25D4">
        <w:t>circolare 12 luglio 2006, n. 61/E, par. 3.4 e 3.5</w:t>
      </w:r>
      <w:r>
        <w:t>.</w:t>
      </w:r>
    </w:p>
  </w:footnote>
  <w:footnote w:id="24">
    <w:p w14:paraId="1032C72F" w14:textId="6E2CB68E" w:rsidR="007F20B9" w:rsidRDefault="007F20B9" w:rsidP="00D36947">
      <w:pPr>
        <w:pStyle w:val="Testonotaapidipagina"/>
      </w:pPr>
      <w:r>
        <w:rPr>
          <w:rStyle w:val="Rimandonotaapidipagina"/>
        </w:rPr>
        <w:footnoteRef/>
      </w:r>
      <w:r>
        <w:t xml:space="preserve"> Cfr. </w:t>
      </w:r>
      <w:r w:rsidRPr="007F20B9">
        <w:t>circolare 12 luglio 2006, n. 61/E, par. 3.7</w:t>
      </w:r>
      <w:r>
        <w:t>.</w:t>
      </w:r>
    </w:p>
  </w:footnote>
  <w:footnote w:id="25">
    <w:p w14:paraId="3F7032D0" w14:textId="08DE4832" w:rsidR="007F20B9" w:rsidRDefault="007F20B9" w:rsidP="00D36947">
      <w:pPr>
        <w:pStyle w:val="Testonotaapidipagina"/>
      </w:pPr>
      <w:r>
        <w:rPr>
          <w:rStyle w:val="Rimandonotaapidipagina"/>
        </w:rPr>
        <w:footnoteRef/>
      </w:r>
      <w:r>
        <w:t xml:space="preserve"> Cfr. </w:t>
      </w:r>
      <w:r w:rsidRPr="007F20B9">
        <w:t>circolare n. 61/E del 2007, par. 1.5.</w:t>
      </w:r>
    </w:p>
  </w:footnote>
  <w:footnote w:id="26">
    <w:p w14:paraId="4616AE6F" w14:textId="54F84898" w:rsidR="007F20B9" w:rsidRDefault="007F20B9" w:rsidP="00D36947">
      <w:pPr>
        <w:pStyle w:val="Testonotaapidipagina"/>
      </w:pPr>
      <w:r>
        <w:rPr>
          <w:rStyle w:val="Rimandonotaapidipagina"/>
        </w:rPr>
        <w:footnoteRef/>
      </w:r>
      <w:r>
        <w:t xml:space="preserve"> Cfr.</w:t>
      </w:r>
      <w:r w:rsidRPr="007F20B9">
        <w:t xml:space="preserve"> circolare 12 luglio 2006, n. 26/E</w:t>
      </w:r>
      <w:r>
        <w:t xml:space="preserve">, </w:t>
      </w:r>
      <w:r w:rsidRPr="007F20B9">
        <w:t>par. 1.3</w:t>
      </w:r>
      <w:r>
        <w:t>.</w:t>
      </w:r>
    </w:p>
  </w:footnote>
  <w:footnote w:id="27">
    <w:p w14:paraId="0113B16B" w14:textId="2A1F7E98" w:rsidR="005B4CA7" w:rsidRDefault="005B4CA7" w:rsidP="00D36947">
      <w:pPr>
        <w:pStyle w:val="Testonotaapidipagina"/>
      </w:pPr>
      <w:r>
        <w:rPr>
          <w:rStyle w:val="Rimandonotaapidipagina"/>
        </w:rPr>
        <w:footnoteRef/>
      </w:r>
      <w:r>
        <w:t xml:space="preserve"> In sostanza, come precisato nella relazione tecnica della legge di stabilità per il 2015 (articolo 1, commi da 20 a 24, della legge 23 dicembre 2014, n. 190, se la sommatoria delle deduzioni vigenti è inferiore al costo del lavoro, spetta un’ulteriore deduzione fino a concorrenza dell’intero importo dell’onere sostenuto.</w:t>
      </w:r>
    </w:p>
  </w:footnote>
  <w:footnote w:id="28">
    <w:p w14:paraId="33B6DB46" w14:textId="0C355AF7" w:rsidR="00F9569A" w:rsidRDefault="00F9569A" w:rsidP="00D36947">
      <w:pPr>
        <w:pStyle w:val="Testonotaapidipagina"/>
      </w:pPr>
      <w:r>
        <w:rPr>
          <w:rStyle w:val="Rimandonotaapidipagina"/>
        </w:rPr>
        <w:footnoteRef/>
      </w:r>
      <w:r>
        <w:t xml:space="preserve"> </w:t>
      </w:r>
      <w:r w:rsidRPr="00F9569A">
        <w:t>Cfr. circolare 9 giugno 2015 n. 22/E, paragrafo</w:t>
      </w:r>
      <w:r>
        <w:t xml:space="preserve"> 5.</w:t>
      </w:r>
    </w:p>
  </w:footnote>
  <w:footnote w:id="29">
    <w:p w14:paraId="7611274E" w14:textId="1956BA0E" w:rsidR="00390946" w:rsidRDefault="00390946" w:rsidP="00D36947">
      <w:pPr>
        <w:pStyle w:val="Testonotaapidipagina"/>
      </w:pPr>
      <w:r>
        <w:rPr>
          <w:rStyle w:val="Rimandonotaapidipagina"/>
        </w:rPr>
        <w:footnoteRef/>
      </w:r>
      <w:r>
        <w:t xml:space="preserve"> </w:t>
      </w:r>
      <w:r w:rsidRPr="00390946">
        <w:t>Cfr. circolare 9 giugno 2015 n. 22/E,</w:t>
      </w:r>
      <w:r>
        <w:t xml:space="preserve"> paragrafo 2.</w:t>
      </w:r>
    </w:p>
  </w:footnote>
  <w:footnote w:id="30">
    <w:p w14:paraId="73A6D902" w14:textId="2C391948" w:rsidR="00365B49" w:rsidRDefault="00365B49" w:rsidP="00D36947">
      <w:pPr>
        <w:pStyle w:val="Testonotaapidipagina"/>
      </w:pPr>
      <w:r>
        <w:rPr>
          <w:rStyle w:val="Rimandonotaapidipagina"/>
        </w:rPr>
        <w:footnoteRef/>
      </w:r>
      <w:r>
        <w:t xml:space="preserve"> </w:t>
      </w:r>
      <w:r w:rsidR="00884E1C">
        <w:t xml:space="preserve">Cfr. </w:t>
      </w:r>
      <w:r w:rsidR="00884E1C" w:rsidRPr="00884E1C">
        <w:t>circolare 9 giugno 2015 n. 22/E, paragrafo 1</w:t>
      </w:r>
      <w:r w:rsidR="00884E1C">
        <w:t>.</w:t>
      </w:r>
    </w:p>
  </w:footnote>
  <w:footnote w:id="31">
    <w:p w14:paraId="3AEE25DE" w14:textId="76823E13" w:rsidR="00430229" w:rsidRDefault="00430229" w:rsidP="00D36947">
      <w:pPr>
        <w:pStyle w:val="Testonotaapidipagina"/>
      </w:pPr>
      <w:r>
        <w:rPr>
          <w:rStyle w:val="Rimandonotaapidipagina"/>
        </w:rPr>
        <w:footnoteRef/>
      </w:r>
      <w:r>
        <w:t xml:space="preserve"> In senso analogo anche la circolare 3 aprile 2013, n. 8/E, paragrafo 1.1</w:t>
      </w:r>
      <w:r w:rsidR="00240E5C">
        <w:t xml:space="preserve">, nonché le istruzioni </w:t>
      </w:r>
      <w:r w:rsidR="00FD07BD">
        <w:t xml:space="preserve">al quadro IE del modello </w:t>
      </w:r>
      <w:r w:rsidR="00240E5C">
        <w:t xml:space="preserve">IRAP </w:t>
      </w:r>
      <w:r w:rsidR="00FD07BD">
        <w:t xml:space="preserve">2020, </w:t>
      </w:r>
      <w:r w:rsidR="00240E5C">
        <w:t>rigo IE57.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DD741" w14:textId="77777777" w:rsidR="00AE741A" w:rsidRPr="009A1190" w:rsidRDefault="00AE741A" w:rsidP="009A1190">
    <w:pPr>
      <w:pStyle w:val="Intestazione"/>
      <w:rPr>
        <w:sz w:val="8"/>
      </w:rPr>
    </w:pPr>
    <w:r w:rsidRPr="00FA3980">
      <w:rPr>
        <w:noProof/>
        <w:sz w:val="8"/>
        <w:lang w:eastAsia="it-IT"/>
      </w:rPr>
      <w:drawing>
        <wp:anchor distT="0" distB="0" distL="114300" distR="114300" simplePos="0" relativeHeight="251660800" behindDoc="0" locked="0" layoutInCell="1" allowOverlap="1" wp14:anchorId="0DECE086" wp14:editId="536E2CCD">
          <wp:simplePos x="0" y="0"/>
          <wp:positionH relativeFrom="column">
            <wp:posOffset>0</wp:posOffset>
          </wp:positionH>
          <wp:positionV relativeFrom="paragraph">
            <wp:posOffset>119380</wp:posOffset>
          </wp:positionV>
          <wp:extent cx="1835785" cy="495300"/>
          <wp:effectExtent l="0" t="0" r="0" b="0"/>
          <wp:wrapNone/>
          <wp:docPr id="24" name="Picture 5" descr="_assets/fnc-doc-assets-assets/logo-ord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assets/fnc-doc-assets-assets/logo-ord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495300"/>
                  </a:xfrm>
                  <a:prstGeom prst="rect">
                    <a:avLst/>
                  </a:prstGeom>
                  <a:noFill/>
                  <a:ln>
                    <a:noFill/>
                  </a:ln>
                </pic:spPr>
              </pic:pic>
            </a:graphicData>
          </a:graphic>
        </wp:anchor>
      </w:drawing>
    </w:r>
    <w:r w:rsidRPr="00FA3980">
      <w:rPr>
        <w:noProof/>
        <w:sz w:val="8"/>
        <w:lang w:eastAsia="it-IT"/>
      </w:rPr>
      <w:drawing>
        <wp:anchor distT="0" distB="0" distL="114300" distR="114300" simplePos="0" relativeHeight="251657728" behindDoc="0" locked="0" layoutInCell="1" allowOverlap="1" wp14:anchorId="44B9902F" wp14:editId="1DDD4181">
          <wp:simplePos x="0" y="0"/>
          <wp:positionH relativeFrom="column">
            <wp:posOffset>4498975</wp:posOffset>
          </wp:positionH>
          <wp:positionV relativeFrom="paragraph">
            <wp:posOffset>148903</wp:posOffset>
          </wp:positionV>
          <wp:extent cx="1115695" cy="423545"/>
          <wp:effectExtent l="0" t="0" r="8255" b="0"/>
          <wp:wrapNone/>
          <wp:docPr id="25" name="Picture 4" descr="_assets/fnc-doc-assets-assets/logo-f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assets/fnc-doc-assets-assets/logo-fn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5695" cy="4235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3EC8D532"/>
    <w:name w:val="WW8Num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Arial" w:hAnsi="Arial"/>
      </w:rPr>
    </w:lvl>
    <w:lvl w:ilvl="2">
      <w:start w:val="1"/>
      <w:numFmt w:val="bullet"/>
      <w:lvlText w:val="•"/>
      <w:lvlJc w:val="left"/>
      <w:pPr>
        <w:tabs>
          <w:tab w:val="num" w:pos="2160"/>
        </w:tabs>
        <w:ind w:left="2160" w:hanging="360"/>
      </w:pPr>
      <w:rPr>
        <w:rFonts w:ascii="Arial" w:hAnsi="Arial"/>
      </w:rPr>
    </w:lvl>
    <w:lvl w:ilvl="3">
      <w:start w:val="1"/>
      <w:numFmt w:val="bullet"/>
      <w:lvlText w:val="•"/>
      <w:lvlJc w:val="left"/>
      <w:pPr>
        <w:tabs>
          <w:tab w:val="num" w:pos="2880"/>
        </w:tabs>
        <w:ind w:left="2880" w:hanging="360"/>
      </w:pPr>
      <w:rPr>
        <w:rFonts w:ascii="Arial" w:hAnsi="Arial"/>
      </w:rPr>
    </w:lvl>
    <w:lvl w:ilvl="4">
      <w:start w:val="1"/>
      <w:numFmt w:val="bullet"/>
      <w:lvlText w:val="•"/>
      <w:lvlJc w:val="left"/>
      <w:pPr>
        <w:tabs>
          <w:tab w:val="num" w:pos="3600"/>
        </w:tabs>
        <w:ind w:left="3600" w:hanging="360"/>
      </w:pPr>
      <w:rPr>
        <w:rFonts w:ascii="Arial" w:hAnsi="Arial"/>
      </w:rPr>
    </w:lvl>
    <w:lvl w:ilvl="5">
      <w:start w:val="1"/>
      <w:numFmt w:val="bullet"/>
      <w:lvlText w:val="•"/>
      <w:lvlJc w:val="left"/>
      <w:pPr>
        <w:tabs>
          <w:tab w:val="num" w:pos="4320"/>
        </w:tabs>
        <w:ind w:left="4320" w:hanging="360"/>
      </w:pPr>
      <w:rPr>
        <w:rFonts w:ascii="Arial" w:hAnsi="Arial"/>
      </w:rPr>
    </w:lvl>
    <w:lvl w:ilvl="6">
      <w:start w:val="1"/>
      <w:numFmt w:val="bullet"/>
      <w:lvlText w:val="•"/>
      <w:lvlJc w:val="left"/>
      <w:pPr>
        <w:tabs>
          <w:tab w:val="num" w:pos="5040"/>
        </w:tabs>
        <w:ind w:left="5040" w:hanging="360"/>
      </w:pPr>
      <w:rPr>
        <w:rFonts w:ascii="Arial" w:hAnsi="Arial"/>
      </w:rPr>
    </w:lvl>
    <w:lvl w:ilvl="7">
      <w:start w:val="1"/>
      <w:numFmt w:val="bullet"/>
      <w:lvlText w:val="•"/>
      <w:lvlJc w:val="left"/>
      <w:pPr>
        <w:tabs>
          <w:tab w:val="num" w:pos="5760"/>
        </w:tabs>
        <w:ind w:left="5760" w:hanging="360"/>
      </w:pPr>
      <w:rPr>
        <w:rFonts w:ascii="Arial" w:hAnsi="Arial"/>
      </w:rPr>
    </w:lvl>
    <w:lvl w:ilvl="8">
      <w:start w:val="1"/>
      <w:numFmt w:val="bullet"/>
      <w:lvlText w:val="•"/>
      <w:lvlJc w:val="left"/>
      <w:pPr>
        <w:tabs>
          <w:tab w:val="num" w:pos="6480"/>
        </w:tabs>
        <w:ind w:left="6480" w:hanging="360"/>
      </w:pPr>
      <w:rPr>
        <w:rFonts w:ascii="Arial" w:hAnsi="Arial"/>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793"/>
        </w:tabs>
        <w:ind w:left="793" w:hanging="360"/>
      </w:pPr>
      <w:rPr>
        <w:rFonts w:ascii="Symbol" w:hAnsi="Symbol" w:cs="OpenSymbol"/>
      </w:rPr>
    </w:lvl>
    <w:lvl w:ilvl="1">
      <w:start w:val="1"/>
      <w:numFmt w:val="bullet"/>
      <w:lvlText w:val="◦"/>
      <w:lvlJc w:val="left"/>
      <w:pPr>
        <w:tabs>
          <w:tab w:val="num" w:pos="1153"/>
        </w:tabs>
        <w:ind w:left="1153" w:hanging="360"/>
      </w:pPr>
      <w:rPr>
        <w:rFonts w:ascii="OpenSymbol" w:hAnsi="OpenSymbol" w:cs="OpenSymbol"/>
      </w:rPr>
    </w:lvl>
    <w:lvl w:ilvl="2">
      <w:start w:val="1"/>
      <w:numFmt w:val="bullet"/>
      <w:lvlText w:val="▪"/>
      <w:lvlJc w:val="left"/>
      <w:pPr>
        <w:tabs>
          <w:tab w:val="num" w:pos="1513"/>
        </w:tabs>
        <w:ind w:left="1513" w:hanging="360"/>
      </w:pPr>
      <w:rPr>
        <w:rFonts w:ascii="OpenSymbol" w:hAnsi="OpenSymbol" w:cs="OpenSymbol"/>
      </w:rPr>
    </w:lvl>
    <w:lvl w:ilvl="3">
      <w:start w:val="1"/>
      <w:numFmt w:val="bullet"/>
      <w:lvlText w:val=""/>
      <w:lvlJc w:val="left"/>
      <w:pPr>
        <w:tabs>
          <w:tab w:val="num" w:pos="1873"/>
        </w:tabs>
        <w:ind w:left="1873" w:hanging="360"/>
      </w:pPr>
      <w:rPr>
        <w:rFonts w:ascii="Symbol" w:hAnsi="Symbol" w:cs="OpenSymbol"/>
      </w:rPr>
    </w:lvl>
    <w:lvl w:ilvl="4">
      <w:start w:val="1"/>
      <w:numFmt w:val="bullet"/>
      <w:lvlText w:val="◦"/>
      <w:lvlJc w:val="left"/>
      <w:pPr>
        <w:tabs>
          <w:tab w:val="num" w:pos="2233"/>
        </w:tabs>
        <w:ind w:left="2233" w:hanging="360"/>
      </w:pPr>
      <w:rPr>
        <w:rFonts w:ascii="OpenSymbol" w:hAnsi="OpenSymbol" w:cs="OpenSymbol"/>
      </w:rPr>
    </w:lvl>
    <w:lvl w:ilvl="5">
      <w:start w:val="1"/>
      <w:numFmt w:val="bullet"/>
      <w:lvlText w:val="▪"/>
      <w:lvlJc w:val="left"/>
      <w:pPr>
        <w:tabs>
          <w:tab w:val="num" w:pos="2593"/>
        </w:tabs>
        <w:ind w:left="2593" w:hanging="360"/>
      </w:pPr>
      <w:rPr>
        <w:rFonts w:ascii="OpenSymbol" w:hAnsi="OpenSymbol" w:cs="OpenSymbol"/>
      </w:rPr>
    </w:lvl>
    <w:lvl w:ilvl="6">
      <w:start w:val="1"/>
      <w:numFmt w:val="bullet"/>
      <w:lvlText w:val=""/>
      <w:lvlJc w:val="left"/>
      <w:pPr>
        <w:tabs>
          <w:tab w:val="num" w:pos="2953"/>
        </w:tabs>
        <w:ind w:left="2953" w:hanging="360"/>
      </w:pPr>
      <w:rPr>
        <w:rFonts w:ascii="Symbol" w:hAnsi="Symbol" w:cs="OpenSymbol"/>
      </w:rPr>
    </w:lvl>
    <w:lvl w:ilvl="7">
      <w:start w:val="1"/>
      <w:numFmt w:val="bullet"/>
      <w:lvlText w:val="◦"/>
      <w:lvlJc w:val="left"/>
      <w:pPr>
        <w:tabs>
          <w:tab w:val="num" w:pos="3313"/>
        </w:tabs>
        <w:ind w:left="3313" w:hanging="360"/>
      </w:pPr>
      <w:rPr>
        <w:rFonts w:ascii="OpenSymbol" w:hAnsi="OpenSymbol" w:cs="OpenSymbol"/>
      </w:rPr>
    </w:lvl>
    <w:lvl w:ilvl="8">
      <w:start w:val="1"/>
      <w:numFmt w:val="bullet"/>
      <w:lvlText w:val="▪"/>
      <w:lvlJc w:val="left"/>
      <w:pPr>
        <w:tabs>
          <w:tab w:val="num" w:pos="3673"/>
        </w:tabs>
        <w:ind w:left="3673" w:hanging="360"/>
      </w:pPr>
      <w:rPr>
        <w:rFonts w:ascii="OpenSymbol" w:hAnsi="OpenSymbol" w:cs="OpenSymbol"/>
      </w:rPr>
    </w:lvl>
  </w:abstractNum>
  <w:abstractNum w:abstractNumId="4" w15:restartNumberingAfterBreak="0">
    <w:nsid w:val="0CEC6058"/>
    <w:multiLevelType w:val="hybridMultilevel"/>
    <w:tmpl w:val="64B4E8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7164AA"/>
    <w:multiLevelType w:val="hybridMultilevel"/>
    <w:tmpl w:val="3148F97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6253FEC"/>
    <w:multiLevelType w:val="hybridMultilevel"/>
    <w:tmpl w:val="703ACACE"/>
    <w:lvl w:ilvl="0" w:tplc="239A5652">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B75233"/>
    <w:multiLevelType w:val="hybridMultilevel"/>
    <w:tmpl w:val="50D8FF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8530C2"/>
    <w:multiLevelType w:val="hybridMultilevel"/>
    <w:tmpl w:val="6F28BE9C"/>
    <w:lvl w:ilvl="0" w:tplc="239A5652">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8D1F72"/>
    <w:multiLevelType w:val="hybridMultilevel"/>
    <w:tmpl w:val="CD5267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065B41"/>
    <w:multiLevelType w:val="hybridMultilevel"/>
    <w:tmpl w:val="445E4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576443"/>
    <w:multiLevelType w:val="hybridMultilevel"/>
    <w:tmpl w:val="3C20F2C2"/>
    <w:lvl w:ilvl="0" w:tplc="ECC624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243114"/>
    <w:multiLevelType w:val="hybridMultilevel"/>
    <w:tmpl w:val="9E6E6504"/>
    <w:lvl w:ilvl="0" w:tplc="239A5652">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BC47B32"/>
    <w:multiLevelType w:val="hybridMultilevel"/>
    <w:tmpl w:val="DF7EA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276A5D"/>
    <w:multiLevelType w:val="hybridMultilevel"/>
    <w:tmpl w:val="BAF03E94"/>
    <w:lvl w:ilvl="0" w:tplc="239A5652">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EBA1A07"/>
    <w:multiLevelType w:val="hybridMultilevel"/>
    <w:tmpl w:val="58B0A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0263131"/>
    <w:multiLevelType w:val="hybridMultilevel"/>
    <w:tmpl w:val="E9B2E930"/>
    <w:lvl w:ilvl="0" w:tplc="ECC624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C0765"/>
    <w:multiLevelType w:val="multilevel"/>
    <w:tmpl w:val="CC321D9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2946E6"/>
    <w:multiLevelType w:val="hybridMultilevel"/>
    <w:tmpl w:val="0738691A"/>
    <w:lvl w:ilvl="0" w:tplc="239A5652">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4C862C4"/>
    <w:multiLevelType w:val="hybridMultilevel"/>
    <w:tmpl w:val="83C80F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635C2F"/>
    <w:multiLevelType w:val="hybridMultilevel"/>
    <w:tmpl w:val="5E927D84"/>
    <w:lvl w:ilvl="0" w:tplc="239A5652">
      <w:start w:val="1"/>
      <w:numFmt w:val="decimal"/>
      <w:lvlText w:val="1.%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54521200"/>
    <w:multiLevelType w:val="hybridMultilevel"/>
    <w:tmpl w:val="9C20F6FC"/>
    <w:lvl w:ilvl="0" w:tplc="ECC624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6E7B56"/>
    <w:multiLevelType w:val="hybridMultilevel"/>
    <w:tmpl w:val="DB725EC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73854C4"/>
    <w:multiLevelType w:val="hybridMultilevel"/>
    <w:tmpl w:val="475E4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0846B96"/>
    <w:multiLevelType w:val="hybridMultilevel"/>
    <w:tmpl w:val="33C447D8"/>
    <w:lvl w:ilvl="0" w:tplc="ECC624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DC1DBA"/>
    <w:multiLevelType w:val="hybridMultilevel"/>
    <w:tmpl w:val="5614BBE8"/>
    <w:lvl w:ilvl="0" w:tplc="ECC624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36556C1"/>
    <w:multiLevelType w:val="multilevel"/>
    <w:tmpl w:val="1ADA8782"/>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72673D4"/>
    <w:multiLevelType w:val="hybridMultilevel"/>
    <w:tmpl w:val="A86490D6"/>
    <w:lvl w:ilvl="0" w:tplc="ECC624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9A352E9"/>
    <w:multiLevelType w:val="hybridMultilevel"/>
    <w:tmpl w:val="DAE03B48"/>
    <w:lvl w:ilvl="0" w:tplc="ECC624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2BA1C10"/>
    <w:multiLevelType w:val="hybridMultilevel"/>
    <w:tmpl w:val="97C2583E"/>
    <w:lvl w:ilvl="0" w:tplc="D63E845A">
      <w:start w:val="1"/>
      <w:numFmt w:val="decimal"/>
      <w:pStyle w:val="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6BE3AFA"/>
    <w:multiLevelType w:val="hybridMultilevel"/>
    <w:tmpl w:val="9D1A7672"/>
    <w:lvl w:ilvl="0" w:tplc="ECC624B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C244A30"/>
    <w:multiLevelType w:val="hybridMultilevel"/>
    <w:tmpl w:val="30D0EC64"/>
    <w:lvl w:ilvl="0" w:tplc="239A5652">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FEC56F2"/>
    <w:multiLevelType w:val="hybridMultilevel"/>
    <w:tmpl w:val="8C48228E"/>
    <w:lvl w:ilvl="0" w:tplc="239A5652">
      <w:start w:val="1"/>
      <w:numFmt w:val="decimal"/>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26"/>
  </w:num>
  <w:num w:numId="3">
    <w:abstractNumId w:val="17"/>
  </w:num>
  <w:num w:numId="4">
    <w:abstractNumId w:val="13"/>
  </w:num>
  <w:num w:numId="5">
    <w:abstractNumId w:val="19"/>
  </w:num>
  <w:num w:numId="6">
    <w:abstractNumId w:val="10"/>
  </w:num>
  <w:num w:numId="7">
    <w:abstractNumId w:val="15"/>
  </w:num>
  <w:num w:numId="8">
    <w:abstractNumId w:val="4"/>
  </w:num>
  <w:num w:numId="9">
    <w:abstractNumId w:val="23"/>
  </w:num>
  <w:num w:numId="10">
    <w:abstractNumId w:val="7"/>
  </w:num>
  <w:num w:numId="11">
    <w:abstractNumId w:val="20"/>
  </w:num>
  <w:num w:numId="12">
    <w:abstractNumId w:val="29"/>
  </w:num>
  <w:num w:numId="13">
    <w:abstractNumId w:val="12"/>
  </w:num>
  <w:num w:numId="14">
    <w:abstractNumId w:val="5"/>
  </w:num>
  <w:num w:numId="15">
    <w:abstractNumId w:val="16"/>
  </w:num>
  <w:num w:numId="16">
    <w:abstractNumId w:val="14"/>
  </w:num>
  <w:num w:numId="17">
    <w:abstractNumId w:val="32"/>
  </w:num>
  <w:num w:numId="18">
    <w:abstractNumId w:val="8"/>
  </w:num>
  <w:num w:numId="19">
    <w:abstractNumId w:val="24"/>
  </w:num>
  <w:num w:numId="20">
    <w:abstractNumId w:val="9"/>
  </w:num>
  <w:num w:numId="21">
    <w:abstractNumId w:val="6"/>
  </w:num>
  <w:num w:numId="22">
    <w:abstractNumId w:val="18"/>
  </w:num>
  <w:num w:numId="23">
    <w:abstractNumId w:val="29"/>
    <w:lvlOverride w:ilvl="0">
      <w:startOverride w:val="1"/>
    </w:lvlOverride>
  </w:num>
  <w:num w:numId="24">
    <w:abstractNumId w:val="30"/>
  </w:num>
  <w:num w:numId="25">
    <w:abstractNumId w:val="25"/>
  </w:num>
  <w:num w:numId="26">
    <w:abstractNumId w:val="21"/>
  </w:num>
  <w:num w:numId="27">
    <w:abstractNumId w:val="11"/>
  </w:num>
  <w:num w:numId="28">
    <w:abstractNumId w:val="27"/>
  </w:num>
  <w:num w:numId="29">
    <w:abstractNumId w:val="28"/>
  </w:num>
  <w:num w:numId="30">
    <w:abstractNumId w:val="31"/>
  </w:num>
  <w:num w:numId="31">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13"/>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DDF"/>
    <w:rsid w:val="00000942"/>
    <w:rsid w:val="000010F7"/>
    <w:rsid w:val="000056EC"/>
    <w:rsid w:val="00005E0E"/>
    <w:rsid w:val="00011506"/>
    <w:rsid w:val="00011D75"/>
    <w:rsid w:val="00015C81"/>
    <w:rsid w:val="00017317"/>
    <w:rsid w:val="00017556"/>
    <w:rsid w:val="000177EC"/>
    <w:rsid w:val="00017997"/>
    <w:rsid w:val="0002061C"/>
    <w:rsid w:val="0002075A"/>
    <w:rsid w:val="00020F8C"/>
    <w:rsid w:val="00021EA4"/>
    <w:rsid w:val="000223FD"/>
    <w:rsid w:val="00024EF2"/>
    <w:rsid w:val="0002537C"/>
    <w:rsid w:val="00027A3C"/>
    <w:rsid w:val="00034840"/>
    <w:rsid w:val="000357B0"/>
    <w:rsid w:val="00037329"/>
    <w:rsid w:val="00037587"/>
    <w:rsid w:val="000375C4"/>
    <w:rsid w:val="000379A8"/>
    <w:rsid w:val="00037A2C"/>
    <w:rsid w:val="00040518"/>
    <w:rsid w:val="0004292A"/>
    <w:rsid w:val="00042F68"/>
    <w:rsid w:val="0004365A"/>
    <w:rsid w:val="0004378E"/>
    <w:rsid w:val="0004558A"/>
    <w:rsid w:val="0004572B"/>
    <w:rsid w:val="00046970"/>
    <w:rsid w:val="0004706A"/>
    <w:rsid w:val="00047486"/>
    <w:rsid w:val="0005088F"/>
    <w:rsid w:val="000511C6"/>
    <w:rsid w:val="000535DD"/>
    <w:rsid w:val="0005360C"/>
    <w:rsid w:val="0005794C"/>
    <w:rsid w:val="000610B8"/>
    <w:rsid w:val="0006325C"/>
    <w:rsid w:val="000643D1"/>
    <w:rsid w:val="00064F9F"/>
    <w:rsid w:val="000724FD"/>
    <w:rsid w:val="00072644"/>
    <w:rsid w:val="00072953"/>
    <w:rsid w:val="000740D8"/>
    <w:rsid w:val="00074A97"/>
    <w:rsid w:val="00075DF6"/>
    <w:rsid w:val="00076C1C"/>
    <w:rsid w:val="0008102D"/>
    <w:rsid w:val="00081256"/>
    <w:rsid w:val="000825D3"/>
    <w:rsid w:val="00083F80"/>
    <w:rsid w:val="000855EB"/>
    <w:rsid w:val="000875FA"/>
    <w:rsid w:val="00087B8F"/>
    <w:rsid w:val="00091936"/>
    <w:rsid w:val="00092381"/>
    <w:rsid w:val="00092670"/>
    <w:rsid w:val="00092D02"/>
    <w:rsid w:val="000933F6"/>
    <w:rsid w:val="00095F26"/>
    <w:rsid w:val="000964C4"/>
    <w:rsid w:val="00096C82"/>
    <w:rsid w:val="000972DF"/>
    <w:rsid w:val="000A0DFC"/>
    <w:rsid w:val="000A1164"/>
    <w:rsid w:val="000A28C0"/>
    <w:rsid w:val="000A4817"/>
    <w:rsid w:val="000A5892"/>
    <w:rsid w:val="000A657F"/>
    <w:rsid w:val="000B0387"/>
    <w:rsid w:val="000B0F4F"/>
    <w:rsid w:val="000B2397"/>
    <w:rsid w:val="000B29EF"/>
    <w:rsid w:val="000B30FE"/>
    <w:rsid w:val="000B353F"/>
    <w:rsid w:val="000B427B"/>
    <w:rsid w:val="000B4BEB"/>
    <w:rsid w:val="000B58C1"/>
    <w:rsid w:val="000B6D80"/>
    <w:rsid w:val="000B6EE4"/>
    <w:rsid w:val="000B70A3"/>
    <w:rsid w:val="000B7520"/>
    <w:rsid w:val="000C06F5"/>
    <w:rsid w:val="000C0738"/>
    <w:rsid w:val="000C0F64"/>
    <w:rsid w:val="000C1E0E"/>
    <w:rsid w:val="000C28E1"/>
    <w:rsid w:val="000C2B3D"/>
    <w:rsid w:val="000C2C34"/>
    <w:rsid w:val="000C5207"/>
    <w:rsid w:val="000C63A7"/>
    <w:rsid w:val="000C6EED"/>
    <w:rsid w:val="000C7F9D"/>
    <w:rsid w:val="000D09F1"/>
    <w:rsid w:val="000D32B9"/>
    <w:rsid w:val="000D3586"/>
    <w:rsid w:val="000D4862"/>
    <w:rsid w:val="000D5DA3"/>
    <w:rsid w:val="000D7004"/>
    <w:rsid w:val="000E1E30"/>
    <w:rsid w:val="000E21E9"/>
    <w:rsid w:val="000E2F86"/>
    <w:rsid w:val="000E397D"/>
    <w:rsid w:val="000E41EC"/>
    <w:rsid w:val="000E4C4F"/>
    <w:rsid w:val="000E4D88"/>
    <w:rsid w:val="000E5F4C"/>
    <w:rsid w:val="000E72AB"/>
    <w:rsid w:val="000F1D3D"/>
    <w:rsid w:val="000F465A"/>
    <w:rsid w:val="000F4D7B"/>
    <w:rsid w:val="000F51C9"/>
    <w:rsid w:val="000F66C8"/>
    <w:rsid w:val="000F716A"/>
    <w:rsid w:val="000F74A1"/>
    <w:rsid w:val="000F78FF"/>
    <w:rsid w:val="001005A3"/>
    <w:rsid w:val="00100E3C"/>
    <w:rsid w:val="00101FDB"/>
    <w:rsid w:val="00102287"/>
    <w:rsid w:val="00103D8B"/>
    <w:rsid w:val="0010428D"/>
    <w:rsid w:val="00106939"/>
    <w:rsid w:val="001102EC"/>
    <w:rsid w:val="001103DC"/>
    <w:rsid w:val="00110518"/>
    <w:rsid w:val="00111717"/>
    <w:rsid w:val="00114131"/>
    <w:rsid w:val="00114F9A"/>
    <w:rsid w:val="00116397"/>
    <w:rsid w:val="001166EF"/>
    <w:rsid w:val="0012016A"/>
    <w:rsid w:val="0012137E"/>
    <w:rsid w:val="00123D3F"/>
    <w:rsid w:val="00127CEA"/>
    <w:rsid w:val="001308EA"/>
    <w:rsid w:val="00131EE4"/>
    <w:rsid w:val="0013206B"/>
    <w:rsid w:val="00134E04"/>
    <w:rsid w:val="001359A8"/>
    <w:rsid w:val="00135A38"/>
    <w:rsid w:val="00135AD1"/>
    <w:rsid w:val="00135F5D"/>
    <w:rsid w:val="0013644D"/>
    <w:rsid w:val="00137FA7"/>
    <w:rsid w:val="001419E9"/>
    <w:rsid w:val="00142999"/>
    <w:rsid w:val="00143456"/>
    <w:rsid w:val="00143538"/>
    <w:rsid w:val="00143723"/>
    <w:rsid w:val="001442C3"/>
    <w:rsid w:val="00145C7E"/>
    <w:rsid w:val="00145D18"/>
    <w:rsid w:val="001460D1"/>
    <w:rsid w:val="00146E9D"/>
    <w:rsid w:val="00147C6C"/>
    <w:rsid w:val="00150032"/>
    <w:rsid w:val="00150053"/>
    <w:rsid w:val="001516A1"/>
    <w:rsid w:val="00153104"/>
    <w:rsid w:val="00153537"/>
    <w:rsid w:val="0015551B"/>
    <w:rsid w:val="00155FF3"/>
    <w:rsid w:val="001566B1"/>
    <w:rsid w:val="00157229"/>
    <w:rsid w:val="001619E9"/>
    <w:rsid w:val="0016209A"/>
    <w:rsid w:val="00163A6E"/>
    <w:rsid w:val="00164988"/>
    <w:rsid w:val="00164A47"/>
    <w:rsid w:val="00164B92"/>
    <w:rsid w:val="00167EBC"/>
    <w:rsid w:val="00171C87"/>
    <w:rsid w:val="001742F6"/>
    <w:rsid w:val="0017543C"/>
    <w:rsid w:val="0017715B"/>
    <w:rsid w:val="00180427"/>
    <w:rsid w:val="0018084D"/>
    <w:rsid w:val="00180E54"/>
    <w:rsid w:val="00180FEA"/>
    <w:rsid w:val="0018120A"/>
    <w:rsid w:val="0018212D"/>
    <w:rsid w:val="001823B1"/>
    <w:rsid w:val="00182D35"/>
    <w:rsid w:val="00183CC2"/>
    <w:rsid w:val="0018560E"/>
    <w:rsid w:val="00186B4B"/>
    <w:rsid w:val="00187E89"/>
    <w:rsid w:val="001918AB"/>
    <w:rsid w:val="00193167"/>
    <w:rsid w:val="00193652"/>
    <w:rsid w:val="0019368D"/>
    <w:rsid w:val="00193C45"/>
    <w:rsid w:val="00194370"/>
    <w:rsid w:val="00194968"/>
    <w:rsid w:val="001967BC"/>
    <w:rsid w:val="00197512"/>
    <w:rsid w:val="00197ADF"/>
    <w:rsid w:val="00197DCC"/>
    <w:rsid w:val="001A12DE"/>
    <w:rsid w:val="001A1B86"/>
    <w:rsid w:val="001A572B"/>
    <w:rsid w:val="001A6B9C"/>
    <w:rsid w:val="001B0A83"/>
    <w:rsid w:val="001B102D"/>
    <w:rsid w:val="001B28C0"/>
    <w:rsid w:val="001B4403"/>
    <w:rsid w:val="001B4D1C"/>
    <w:rsid w:val="001B7915"/>
    <w:rsid w:val="001C0194"/>
    <w:rsid w:val="001C29DB"/>
    <w:rsid w:val="001C2C17"/>
    <w:rsid w:val="001C2D5D"/>
    <w:rsid w:val="001C30A7"/>
    <w:rsid w:val="001C32C0"/>
    <w:rsid w:val="001C338B"/>
    <w:rsid w:val="001C3F3D"/>
    <w:rsid w:val="001C6A66"/>
    <w:rsid w:val="001C70AB"/>
    <w:rsid w:val="001D0CA5"/>
    <w:rsid w:val="001D0D4A"/>
    <w:rsid w:val="001D2375"/>
    <w:rsid w:val="001D276D"/>
    <w:rsid w:val="001D3F89"/>
    <w:rsid w:val="001D408C"/>
    <w:rsid w:val="001D4294"/>
    <w:rsid w:val="001D6B85"/>
    <w:rsid w:val="001E166E"/>
    <w:rsid w:val="001E2876"/>
    <w:rsid w:val="001E3872"/>
    <w:rsid w:val="001E3C13"/>
    <w:rsid w:val="001E573E"/>
    <w:rsid w:val="001E5B5C"/>
    <w:rsid w:val="001E6B56"/>
    <w:rsid w:val="001E78AD"/>
    <w:rsid w:val="001F0A4D"/>
    <w:rsid w:val="001F1CF4"/>
    <w:rsid w:val="001F1DD5"/>
    <w:rsid w:val="001F200E"/>
    <w:rsid w:val="001F30BE"/>
    <w:rsid w:val="001F37D5"/>
    <w:rsid w:val="001F3FEC"/>
    <w:rsid w:val="001F4D09"/>
    <w:rsid w:val="001F6729"/>
    <w:rsid w:val="001F6C77"/>
    <w:rsid w:val="001F70EF"/>
    <w:rsid w:val="00203AD5"/>
    <w:rsid w:val="002046F7"/>
    <w:rsid w:val="00206013"/>
    <w:rsid w:val="00206913"/>
    <w:rsid w:val="00210179"/>
    <w:rsid w:val="002123C2"/>
    <w:rsid w:val="002165F2"/>
    <w:rsid w:val="00220372"/>
    <w:rsid w:val="00220C18"/>
    <w:rsid w:val="002221C4"/>
    <w:rsid w:val="00222B0F"/>
    <w:rsid w:val="002238EB"/>
    <w:rsid w:val="00223AA1"/>
    <w:rsid w:val="0022479F"/>
    <w:rsid w:val="0022487F"/>
    <w:rsid w:val="00230A3A"/>
    <w:rsid w:val="00230E2F"/>
    <w:rsid w:val="00233F9C"/>
    <w:rsid w:val="00237E0D"/>
    <w:rsid w:val="00240494"/>
    <w:rsid w:val="00240E5C"/>
    <w:rsid w:val="0024144B"/>
    <w:rsid w:val="002421D3"/>
    <w:rsid w:val="00242C5E"/>
    <w:rsid w:val="00243270"/>
    <w:rsid w:val="00244CE9"/>
    <w:rsid w:val="0024514B"/>
    <w:rsid w:val="002463EF"/>
    <w:rsid w:val="002509B6"/>
    <w:rsid w:val="00250E5D"/>
    <w:rsid w:val="00253B9E"/>
    <w:rsid w:val="00254BF5"/>
    <w:rsid w:val="002554D8"/>
    <w:rsid w:val="002571F4"/>
    <w:rsid w:val="00260F9C"/>
    <w:rsid w:val="00261DC3"/>
    <w:rsid w:val="00262DF5"/>
    <w:rsid w:val="00264272"/>
    <w:rsid w:val="00265FBB"/>
    <w:rsid w:val="00270069"/>
    <w:rsid w:val="00272BFF"/>
    <w:rsid w:val="00273536"/>
    <w:rsid w:val="002744C9"/>
    <w:rsid w:val="0027477E"/>
    <w:rsid w:val="0027499A"/>
    <w:rsid w:val="0027499E"/>
    <w:rsid w:val="00274AE3"/>
    <w:rsid w:val="00274F3A"/>
    <w:rsid w:val="00275522"/>
    <w:rsid w:val="00275AB3"/>
    <w:rsid w:val="00275EE2"/>
    <w:rsid w:val="002766B3"/>
    <w:rsid w:val="002769E4"/>
    <w:rsid w:val="00276E62"/>
    <w:rsid w:val="00277C2F"/>
    <w:rsid w:val="00277FCF"/>
    <w:rsid w:val="0028154F"/>
    <w:rsid w:val="00283D7B"/>
    <w:rsid w:val="002859D0"/>
    <w:rsid w:val="0029306C"/>
    <w:rsid w:val="0029371A"/>
    <w:rsid w:val="002946FE"/>
    <w:rsid w:val="00295408"/>
    <w:rsid w:val="00297D72"/>
    <w:rsid w:val="002A0AB4"/>
    <w:rsid w:val="002A0BAC"/>
    <w:rsid w:val="002A24A8"/>
    <w:rsid w:val="002A5069"/>
    <w:rsid w:val="002A58F2"/>
    <w:rsid w:val="002A5C38"/>
    <w:rsid w:val="002A68B2"/>
    <w:rsid w:val="002A74E4"/>
    <w:rsid w:val="002A7523"/>
    <w:rsid w:val="002A78E2"/>
    <w:rsid w:val="002B0466"/>
    <w:rsid w:val="002B1839"/>
    <w:rsid w:val="002B268C"/>
    <w:rsid w:val="002B28F9"/>
    <w:rsid w:val="002B2ADF"/>
    <w:rsid w:val="002B3B84"/>
    <w:rsid w:val="002B64FD"/>
    <w:rsid w:val="002B7EEB"/>
    <w:rsid w:val="002C104D"/>
    <w:rsid w:val="002C1F68"/>
    <w:rsid w:val="002C2B49"/>
    <w:rsid w:val="002C3CC4"/>
    <w:rsid w:val="002C4A8B"/>
    <w:rsid w:val="002D018F"/>
    <w:rsid w:val="002D1A26"/>
    <w:rsid w:val="002D4BA6"/>
    <w:rsid w:val="002D515E"/>
    <w:rsid w:val="002D519C"/>
    <w:rsid w:val="002D5AA2"/>
    <w:rsid w:val="002D60CE"/>
    <w:rsid w:val="002D6113"/>
    <w:rsid w:val="002D7162"/>
    <w:rsid w:val="002E0BB0"/>
    <w:rsid w:val="002E1F9D"/>
    <w:rsid w:val="002E2508"/>
    <w:rsid w:val="002E41CF"/>
    <w:rsid w:val="002E5AB4"/>
    <w:rsid w:val="002E5C6F"/>
    <w:rsid w:val="002E5EF2"/>
    <w:rsid w:val="002E6BB8"/>
    <w:rsid w:val="002E777A"/>
    <w:rsid w:val="002F1020"/>
    <w:rsid w:val="002F2812"/>
    <w:rsid w:val="002F58A0"/>
    <w:rsid w:val="002F6245"/>
    <w:rsid w:val="002F6771"/>
    <w:rsid w:val="002F7172"/>
    <w:rsid w:val="00300426"/>
    <w:rsid w:val="00300E75"/>
    <w:rsid w:val="00300F96"/>
    <w:rsid w:val="003024F4"/>
    <w:rsid w:val="0030461C"/>
    <w:rsid w:val="00304FE4"/>
    <w:rsid w:val="0030591A"/>
    <w:rsid w:val="0030635B"/>
    <w:rsid w:val="00306808"/>
    <w:rsid w:val="003073D8"/>
    <w:rsid w:val="00307514"/>
    <w:rsid w:val="003075CC"/>
    <w:rsid w:val="003117F4"/>
    <w:rsid w:val="003126A6"/>
    <w:rsid w:val="00315164"/>
    <w:rsid w:val="0031555B"/>
    <w:rsid w:val="00315628"/>
    <w:rsid w:val="00316151"/>
    <w:rsid w:val="00317E74"/>
    <w:rsid w:val="00320A10"/>
    <w:rsid w:val="003210F4"/>
    <w:rsid w:val="00321AE0"/>
    <w:rsid w:val="003220C9"/>
    <w:rsid w:val="00322562"/>
    <w:rsid w:val="003233ED"/>
    <w:rsid w:val="00323B2B"/>
    <w:rsid w:val="00326110"/>
    <w:rsid w:val="003262B7"/>
    <w:rsid w:val="00326C6A"/>
    <w:rsid w:val="00326D4D"/>
    <w:rsid w:val="00327A90"/>
    <w:rsid w:val="003313DF"/>
    <w:rsid w:val="00331409"/>
    <w:rsid w:val="003315DB"/>
    <w:rsid w:val="00331A1B"/>
    <w:rsid w:val="003325D5"/>
    <w:rsid w:val="00333843"/>
    <w:rsid w:val="0033598C"/>
    <w:rsid w:val="00335EA0"/>
    <w:rsid w:val="00337BFE"/>
    <w:rsid w:val="003437CE"/>
    <w:rsid w:val="0034401D"/>
    <w:rsid w:val="003459A9"/>
    <w:rsid w:val="0034777C"/>
    <w:rsid w:val="0034788F"/>
    <w:rsid w:val="003479D7"/>
    <w:rsid w:val="00347C56"/>
    <w:rsid w:val="003506DA"/>
    <w:rsid w:val="00350896"/>
    <w:rsid w:val="00350BE9"/>
    <w:rsid w:val="00350D5B"/>
    <w:rsid w:val="0035166B"/>
    <w:rsid w:val="003518D0"/>
    <w:rsid w:val="00352125"/>
    <w:rsid w:val="00352E71"/>
    <w:rsid w:val="0035708C"/>
    <w:rsid w:val="0035727D"/>
    <w:rsid w:val="0035776A"/>
    <w:rsid w:val="00357915"/>
    <w:rsid w:val="00357C6F"/>
    <w:rsid w:val="00362D34"/>
    <w:rsid w:val="003631C3"/>
    <w:rsid w:val="003633CC"/>
    <w:rsid w:val="003644C5"/>
    <w:rsid w:val="00364CA2"/>
    <w:rsid w:val="00365176"/>
    <w:rsid w:val="0036524C"/>
    <w:rsid w:val="00365B49"/>
    <w:rsid w:val="00366768"/>
    <w:rsid w:val="003678D3"/>
    <w:rsid w:val="00370AF0"/>
    <w:rsid w:val="003711C2"/>
    <w:rsid w:val="00372133"/>
    <w:rsid w:val="00372213"/>
    <w:rsid w:val="00372EDE"/>
    <w:rsid w:val="00373B34"/>
    <w:rsid w:val="00374770"/>
    <w:rsid w:val="0037517A"/>
    <w:rsid w:val="0037594F"/>
    <w:rsid w:val="00375998"/>
    <w:rsid w:val="00375EEE"/>
    <w:rsid w:val="0037631A"/>
    <w:rsid w:val="0037723F"/>
    <w:rsid w:val="003807AF"/>
    <w:rsid w:val="00383DDF"/>
    <w:rsid w:val="003844F6"/>
    <w:rsid w:val="003845BE"/>
    <w:rsid w:val="00385DC6"/>
    <w:rsid w:val="00387153"/>
    <w:rsid w:val="00390946"/>
    <w:rsid w:val="00390C6B"/>
    <w:rsid w:val="00392077"/>
    <w:rsid w:val="00392E36"/>
    <w:rsid w:val="003934B1"/>
    <w:rsid w:val="003946B5"/>
    <w:rsid w:val="003958A7"/>
    <w:rsid w:val="00396318"/>
    <w:rsid w:val="00396B21"/>
    <w:rsid w:val="003A0AD1"/>
    <w:rsid w:val="003A15F1"/>
    <w:rsid w:val="003A23B3"/>
    <w:rsid w:val="003A33DC"/>
    <w:rsid w:val="003A38A9"/>
    <w:rsid w:val="003A39EC"/>
    <w:rsid w:val="003A4001"/>
    <w:rsid w:val="003A4039"/>
    <w:rsid w:val="003A4C9D"/>
    <w:rsid w:val="003A5AE5"/>
    <w:rsid w:val="003A6431"/>
    <w:rsid w:val="003B0B46"/>
    <w:rsid w:val="003B1665"/>
    <w:rsid w:val="003B1D11"/>
    <w:rsid w:val="003B3B63"/>
    <w:rsid w:val="003B55CC"/>
    <w:rsid w:val="003B774E"/>
    <w:rsid w:val="003B79A5"/>
    <w:rsid w:val="003C163D"/>
    <w:rsid w:val="003C4137"/>
    <w:rsid w:val="003C4678"/>
    <w:rsid w:val="003C49B0"/>
    <w:rsid w:val="003C4B9C"/>
    <w:rsid w:val="003C5E0B"/>
    <w:rsid w:val="003C65FA"/>
    <w:rsid w:val="003C753C"/>
    <w:rsid w:val="003D0D81"/>
    <w:rsid w:val="003D1171"/>
    <w:rsid w:val="003D147E"/>
    <w:rsid w:val="003D3A8A"/>
    <w:rsid w:val="003D3B1E"/>
    <w:rsid w:val="003D3B43"/>
    <w:rsid w:val="003D3D52"/>
    <w:rsid w:val="003D5529"/>
    <w:rsid w:val="003D57EA"/>
    <w:rsid w:val="003D5C84"/>
    <w:rsid w:val="003D68BC"/>
    <w:rsid w:val="003D7A9A"/>
    <w:rsid w:val="003E0D1F"/>
    <w:rsid w:val="003E0EED"/>
    <w:rsid w:val="003E3046"/>
    <w:rsid w:val="003E40B5"/>
    <w:rsid w:val="003E67E4"/>
    <w:rsid w:val="003E68D5"/>
    <w:rsid w:val="003E7491"/>
    <w:rsid w:val="003E7CBC"/>
    <w:rsid w:val="003F1448"/>
    <w:rsid w:val="003F2A2F"/>
    <w:rsid w:val="003F3802"/>
    <w:rsid w:val="003F3A7C"/>
    <w:rsid w:val="003F4E1D"/>
    <w:rsid w:val="003F5464"/>
    <w:rsid w:val="003F65DB"/>
    <w:rsid w:val="003F72B1"/>
    <w:rsid w:val="003F7C42"/>
    <w:rsid w:val="0040145A"/>
    <w:rsid w:val="00405D26"/>
    <w:rsid w:val="0040605B"/>
    <w:rsid w:val="00406A6F"/>
    <w:rsid w:val="00406C94"/>
    <w:rsid w:val="00410CBD"/>
    <w:rsid w:val="004110A5"/>
    <w:rsid w:val="00412E3D"/>
    <w:rsid w:val="00412FB8"/>
    <w:rsid w:val="00412FC3"/>
    <w:rsid w:val="00415821"/>
    <w:rsid w:val="00416118"/>
    <w:rsid w:val="004162A2"/>
    <w:rsid w:val="00417929"/>
    <w:rsid w:val="00417F50"/>
    <w:rsid w:val="004201E7"/>
    <w:rsid w:val="004218E0"/>
    <w:rsid w:val="0042221D"/>
    <w:rsid w:val="004234DD"/>
    <w:rsid w:val="00424A1B"/>
    <w:rsid w:val="00430229"/>
    <w:rsid w:val="004316BC"/>
    <w:rsid w:val="00434E90"/>
    <w:rsid w:val="0043795D"/>
    <w:rsid w:val="00437B9A"/>
    <w:rsid w:val="00437FB3"/>
    <w:rsid w:val="0044009C"/>
    <w:rsid w:val="00443009"/>
    <w:rsid w:val="004434D1"/>
    <w:rsid w:val="00443501"/>
    <w:rsid w:val="00443D9E"/>
    <w:rsid w:val="00444E05"/>
    <w:rsid w:val="00445BFE"/>
    <w:rsid w:val="00445D77"/>
    <w:rsid w:val="0044714D"/>
    <w:rsid w:val="0045004C"/>
    <w:rsid w:val="0045414D"/>
    <w:rsid w:val="00455BF8"/>
    <w:rsid w:val="00457BE1"/>
    <w:rsid w:val="004609A4"/>
    <w:rsid w:val="0046282C"/>
    <w:rsid w:val="004628E5"/>
    <w:rsid w:val="00462E58"/>
    <w:rsid w:val="00463C8B"/>
    <w:rsid w:val="0046603F"/>
    <w:rsid w:val="00466442"/>
    <w:rsid w:val="004708A6"/>
    <w:rsid w:val="004727D0"/>
    <w:rsid w:val="0047566F"/>
    <w:rsid w:val="004757C0"/>
    <w:rsid w:val="004810BC"/>
    <w:rsid w:val="00482713"/>
    <w:rsid w:val="00483E2A"/>
    <w:rsid w:val="00485191"/>
    <w:rsid w:val="004852A7"/>
    <w:rsid w:val="0048579E"/>
    <w:rsid w:val="0048628A"/>
    <w:rsid w:val="00491057"/>
    <w:rsid w:val="0049173E"/>
    <w:rsid w:val="004921C6"/>
    <w:rsid w:val="00493B81"/>
    <w:rsid w:val="0049592B"/>
    <w:rsid w:val="00495CF4"/>
    <w:rsid w:val="00496548"/>
    <w:rsid w:val="00497B98"/>
    <w:rsid w:val="004A059B"/>
    <w:rsid w:val="004A1F13"/>
    <w:rsid w:val="004A24F6"/>
    <w:rsid w:val="004A2BA4"/>
    <w:rsid w:val="004A5CF6"/>
    <w:rsid w:val="004B1050"/>
    <w:rsid w:val="004B1727"/>
    <w:rsid w:val="004B28FA"/>
    <w:rsid w:val="004B2BEA"/>
    <w:rsid w:val="004B300B"/>
    <w:rsid w:val="004B315B"/>
    <w:rsid w:val="004B492E"/>
    <w:rsid w:val="004B5465"/>
    <w:rsid w:val="004B687E"/>
    <w:rsid w:val="004C05EC"/>
    <w:rsid w:val="004C1866"/>
    <w:rsid w:val="004C3E9F"/>
    <w:rsid w:val="004C4649"/>
    <w:rsid w:val="004C4CC6"/>
    <w:rsid w:val="004C4D69"/>
    <w:rsid w:val="004C4F13"/>
    <w:rsid w:val="004C69E8"/>
    <w:rsid w:val="004C7360"/>
    <w:rsid w:val="004C7C9C"/>
    <w:rsid w:val="004D0E7A"/>
    <w:rsid w:val="004D1189"/>
    <w:rsid w:val="004D131E"/>
    <w:rsid w:val="004D15CF"/>
    <w:rsid w:val="004D1A30"/>
    <w:rsid w:val="004D322A"/>
    <w:rsid w:val="004D366E"/>
    <w:rsid w:val="004D3DC6"/>
    <w:rsid w:val="004D5498"/>
    <w:rsid w:val="004D66C1"/>
    <w:rsid w:val="004D6DF1"/>
    <w:rsid w:val="004D70B4"/>
    <w:rsid w:val="004D7687"/>
    <w:rsid w:val="004E01E0"/>
    <w:rsid w:val="004E0596"/>
    <w:rsid w:val="004E199A"/>
    <w:rsid w:val="004E337D"/>
    <w:rsid w:val="004E37D2"/>
    <w:rsid w:val="004E3AEA"/>
    <w:rsid w:val="004E4624"/>
    <w:rsid w:val="004E5138"/>
    <w:rsid w:val="004E585D"/>
    <w:rsid w:val="004E5BC7"/>
    <w:rsid w:val="004F1C0F"/>
    <w:rsid w:val="004F3AA4"/>
    <w:rsid w:val="004F3AC7"/>
    <w:rsid w:val="004F3F2C"/>
    <w:rsid w:val="004F43BD"/>
    <w:rsid w:val="004F4F56"/>
    <w:rsid w:val="004F62E9"/>
    <w:rsid w:val="004F6415"/>
    <w:rsid w:val="004F69FA"/>
    <w:rsid w:val="004F7134"/>
    <w:rsid w:val="004F74D7"/>
    <w:rsid w:val="004F7647"/>
    <w:rsid w:val="00500DF1"/>
    <w:rsid w:val="00501081"/>
    <w:rsid w:val="005013D6"/>
    <w:rsid w:val="00502274"/>
    <w:rsid w:val="0050468F"/>
    <w:rsid w:val="00505B2D"/>
    <w:rsid w:val="00506D11"/>
    <w:rsid w:val="00507675"/>
    <w:rsid w:val="0051062D"/>
    <w:rsid w:val="005107F1"/>
    <w:rsid w:val="00511F3B"/>
    <w:rsid w:val="00515496"/>
    <w:rsid w:val="00515967"/>
    <w:rsid w:val="00516B4C"/>
    <w:rsid w:val="00516F65"/>
    <w:rsid w:val="005216CB"/>
    <w:rsid w:val="00522891"/>
    <w:rsid w:val="00522BF0"/>
    <w:rsid w:val="005240D9"/>
    <w:rsid w:val="005278D9"/>
    <w:rsid w:val="005324DD"/>
    <w:rsid w:val="0053283F"/>
    <w:rsid w:val="005328E2"/>
    <w:rsid w:val="00533529"/>
    <w:rsid w:val="0053371E"/>
    <w:rsid w:val="0053517F"/>
    <w:rsid w:val="00535312"/>
    <w:rsid w:val="005369B6"/>
    <w:rsid w:val="005370D3"/>
    <w:rsid w:val="005406BE"/>
    <w:rsid w:val="0054189B"/>
    <w:rsid w:val="005419AD"/>
    <w:rsid w:val="0054224E"/>
    <w:rsid w:val="00545344"/>
    <w:rsid w:val="0054561A"/>
    <w:rsid w:val="00551403"/>
    <w:rsid w:val="00553C8D"/>
    <w:rsid w:val="00554835"/>
    <w:rsid w:val="00556FC9"/>
    <w:rsid w:val="00557BE8"/>
    <w:rsid w:val="00557E58"/>
    <w:rsid w:val="00560DBA"/>
    <w:rsid w:val="00561A24"/>
    <w:rsid w:val="00561CF5"/>
    <w:rsid w:val="0056416A"/>
    <w:rsid w:val="00564645"/>
    <w:rsid w:val="00564912"/>
    <w:rsid w:val="00566341"/>
    <w:rsid w:val="00571FFB"/>
    <w:rsid w:val="00572A4F"/>
    <w:rsid w:val="00572BA4"/>
    <w:rsid w:val="00574C98"/>
    <w:rsid w:val="0057509F"/>
    <w:rsid w:val="00576127"/>
    <w:rsid w:val="005761A9"/>
    <w:rsid w:val="00576359"/>
    <w:rsid w:val="00577468"/>
    <w:rsid w:val="005807FB"/>
    <w:rsid w:val="00581B7B"/>
    <w:rsid w:val="00581FB1"/>
    <w:rsid w:val="0058502A"/>
    <w:rsid w:val="005877EE"/>
    <w:rsid w:val="0059089F"/>
    <w:rsid w:val="00591E15"/>
    <w:rsid w:val="00591FBF"/>
    <w:rsid w:val="005932CC"/>
    <w:rsid w:val="0059330A"/>
    <w:rsid w:val="00594907"/>
    <w:rsid w:val="0059491D"/>
    <w:rsid w:val="0059505B"/>
    <w:rsid w:val="00596C27"/>
    <w:rsid w:val="005978B7"/>
    <w:rsid w:val="00597A93"/>
    <w:rsid w:val="00597B76"/>
    <w:rsid w:val="005A018F"/>
    <w:rsid w:val="005A3DC1"/>
    <w:rsid w:val="005A429D"/>
    <w:rsid w:val="005A42A4"/>
    <w:rsid w:val="005A6CE4"/>
    <w:rsid w:val="005A71BE"/>
    <w:rsid w:val="005B11F3"/>
    <w:rsid w:val="005B15E9"/>
    <w:rsid w:val="005B1B7D"/>
    <w:rsid w:val="005B1F25"/>
    <w:rsid w:val="005B1FC8"/>
    <w:rsid w:val="005B2604"/>
    <w:rsid w:val="005B4CA7"/>
    <w:rsid w:val="005B62F3"/>
    <w:rsid w:val="005B7003"/>
    <w:rsid w:val="005C040C"/>
    <w:rsid w:val="005C2201"/>
    <w:rsid w:val="005C410D"/>
    <w:rsid w:val="005C423A"/>
    <w:rsid w:val="005C4E0D"/>
    <w:rsid w:val="005C5110"/>
    <w:rsid w:val="005C6A70"/>
    <w:rsid w:val="005C6E91"/>
    <w:rsid w:val="005D1004"/>
    <w:rsid w:val="005D191F"/>
    <w:rsid w:val="005D20FF"/>
    <w:rsid w:val="005D3740"/>
    <w:rsid w:val="005D48DC"/>
    <w:rsid w:val="005D4E63"/>
    <w:rsid w:val="005D51CF"/>
    <w:rsid w:val="005D679B"/>
    <w:rsid w:val="005E0A8B"/>
    <w:rsid w:val="005E1C5B"/>
    <w:rsid w:val="005E30B2"/>
    <w:rsid w:val="005E32FB"/>
    <w:rsid w:val="005E3FD3"/>
    <w:rsid w:val="005E4B05"/>
    <w:rsid w:val="005E5A50"/>
    <w:rsid w:val="005E6A63"/>
    <w:rsid w:val="005E6B27"/>
    <w:rsid w:val="005F11ED"/>
    <w:rsid w:val="005F1222"/>
    <w:rsid w:val="005F16A5"/>
    <w:rsid w:val="005F1E6A"/>
    <w:rsid w:val="005F3283"/>
    <w:rsid w:val="005F38A9"/>
    <w:rsid w:val="005F3A8A"/>
    <w:rsid w:val="005F3AC5"/>
    <w:rsid w:val="005F42A1"/>
    <w:rsid w:val="005F4AF4"/>
    <w:rsid w:val="005F72D8"/>
    <w:rsid w:val="005F76DF"/>
    <w:rsid w:val="00600BA2"/>
    <w:rsid w:val="00601B9F"/>
    <w:rsid w:val="00602837"/>
    <w:rsid w:val="006047AE"/>
    <w:rsid w:val="006049A4"/>
    <w:rsid w:val="006059CC"/>
    <w:rsid w:val="00605E54"/>
    <w:rsid w:val="00606C09"/>
    <w:rsid w:val="00610007"/>
    <w:rsid w:val="0061022E"/>
    <w:rsid w:val="00610FFF"/>
    <w:rsid w:val="0061165F"/>
    <w:rsid w:val="00612023"/>
    <w:rsid w:val="0061313D"/>
    <w:rsid w:val="006134AA"/>
    <w:rsid w:val="00613F49"/>
    <w:rsid w:val="006144CB"/>
    <w:rsid w:val="00614CC0"/>
    <w:rsid w:val="00616510"/>
    <w:rsid w:val="00617C5F"/>
    <w:rsid w:val="0062048F"/>
    <w:rsid w:val="00622285"/>
    <w:rsid w:val="006235D8"/>
    <w:rsid w:val="0062386D"/>
    <w:rsid w:val="00624AA8"/>
    <w:rsid w:val="00630137"/>
    <w:rsid w:val="00630B98"/>
    <w:rsid w:val="00631167"/>
    <w:rsid w:val="00633431"/>
    <w:rsid w:val="00633A09"/>
    <w:rsid w:val="00634235"/>
    <w:rsid w:val="006364BA"/>
    <w:rsid w:val="006403BC"/>
    <w:rsid w:val="006405EB"/>
    <w:rsid w:val="006414D0"/>
    <w:rsid w:val="00641587"/>
    <w:rsid w:val="00641F43"/>
    <w:rsid w:val="00642139"/>
    <w:rsid w:val="006451D0"/>
    <w:rsid w:val="006456B6"/>
    <w:rsid w:val="0064576D"/>
    <w:rsid w:val="006466B1"/>
    <w:rsid w:val="00646FAC"/>
    <w:rsid w:val="00650B4C"/>
    <w:rsid w:val="00651228"/>
    <w:rsid w:val="0065129E"/>
    <w:rsid w:val="006519E8"/>
    <w:rsid w:val="00653A6E"/>
    <w:rsid w:val="00654431"/>
    <w:rsid w:val="00654717"/>
    <w:rsid w:val="00655505"/>
    <w:rsid w:val="00657C7C"/>
    <w:rsid w:val="00660C72"/>
    <w:rsid w:val="006617C1"/>
    <w:rsid w:val="0066487C"/>
    <w:rsid w:val="00666180"/>
    <w:rsid w:val="0066664D"/>
    <w:rsid w:val="00666D82"/>
    <w:rsid w:val="00670A3A"/>
    <w:rsid w:val="00670B26"/>
    <w:rsid w:val="00670D14"/>
    <w:rsid w:val="006736C9"/>
    <w:rsid w:val="0067388E"/>
    <w:rsid w:val="006747B6"/>
    <w:rsid w:val="00674E57"/>
    <w:rsid w:val="0067740D"/>
    <w:rsid w:val="00680374"/>
    <w:rsid w:val="006804F6"/>
    <w:rsid w:val="00680774"/>
    <w:rsid w:val="0068126B"/>
    <w:rsid w:val="006814EF"/>
    <w:rsid w:val="00692934"/>
    <w:rsid w:val="0069439B"/>
    <w:rsid w:val="006945C5"/>
    <w:rsid w:val="00694FB5"/>
    <w:rsid w:val="00696E93"/>
    <w:rsid w:val="006A00B5"/>
    <w:rsid w:val="006A078B"/>
    <w:rsid w:val="006A1153"/>
    <w:rsid w:val="006A3BDC"/>
    <w:rsid w:val="006A541F"/>
    <w:rsid w:val="006A5451"/>
    <w:rsid w:val="006A749E"/>
    <w:rsid w:val="006A7ED7"/>
    <w:rsid w:val="006B02A2"/>
    <w:rsid w:val="006B146E"/>
    <w:rsid w:val="006B2A8A"/>
    <w:rsid w:val="006B40DC"/>
    <w:rsid w:val="006B4F7A"/>
    <w:rsid w:val="006B7AE9"/>
    <w:rsid w:val="006B7F84"/>
    <w:rsid w:val="006C0B5F"/>
    <w:rsid w:val="006C1E99"/>
    <w:rsid w:val="006C26F0"/>
    <w:rsid w:val="006C2C2A"/>
    <w:rsid w:val="006C3F5F"/>
    <w:rsid w:val="006C4E10"/>
    <w:rsid w:val="006C5473"/>
    <w:rsid w:val="006C5BFD"/>
    <w:rsid w:val="006C67B3"/>
    <w:rsid w:val="006C7692"/>
    <w:rsid w:val="006C7977"/>
    <w:rsid w:val="006D08C9"/>
    <w:rsid w:val="006D0F91"/>
    <w:rsid w:val="006D227E"/>
    <w:rsid w:val="006D461C"/>
    <w:rsid w:val="006D52A5"/>
    <w:rsid w:val="006D6233"/>
    <w:rsid w:val="006E015F"/>
    <w:rsid w:val="006E05E5"/>
    <w:rsid w:val="006E2062"/>
    <w:rsid w:val="006E283E"/>
    <w:rsid w:val="006E3831"/>
    <w:rsid w:val="006E44FC"/>
    <w:rsid w:val="006E5327"/>
    <w:rsid w:val="006E73BB"/>
    <w:rsid w:val="006E7B77"/>
    <w:rsid w:val="006F0DCB"/>
    <w:rsid w:val="006F33A8"/>
    <w:rsid w:val="006F390A"/>
    <w:rsid w:val="006F3D85"/>
    <w:rsid w:val="006F5483"/>
    <w:rsid w:val="006F7EE0"/>
    <w:rsid w:val="007001D4"/>
    <w:rsid w:val="00700596"/>
    <w:rsid w:val="0070328E"/>
    <w:rsid w:val="007068CC"/>
    <w:rsid w:val="007077F2"/>
    <w:rsid w:val="00710657"/>
    <w:rsid w:val="00711ED0"/>
    <w:rsid w:val="00711F99"/>
    <w:rsid w:val="00712901"/>
    <w:rsid w:val="00712989"/>
    <w:rsid w:val="007139BF"/>
    <w:rsid w:val="00713F34"/>
    <w:rsid w:val="00714361"/>
    <w:rsid w:val="007145E3"/>
    <w:rsid w:val="00714BDC"/>
    <w:rsid w:val="00714D12"/>
    <w:rsid w:val="0071584F"/>
    <w:rsid w:val="00720610"/>
    <w:rsid w:val="007226A5"/>
    <w:rsid w:val="00722CB8"/>
    <w:rsid w:val="007257DC"/>
    <w:rsid w:val="00726302"/>
    <w:rsid w:val="00726498"/>
    <w:rsid w:val="00727F18"/>
    <w:rsid w:val="00730EC9"/>
    <w:rsid w:val="0073118A"/>
    <w:rsid w:val="007311F8"/>
    <w:rsid w:val="007328AC"/>
    <w:rsid w:val="007329B4"/>
    <w:rsid w:val="0073303C"/>
    <w:rsid w:val="00733D55"/>
    <w:rsid w:val="00736E34"/>
    <w:rsid w:val="00737940"/>
    <w:rsid w:val="00740256"/>
    <w:rsid w:val="00741278"/>
    <w:rsid w:val="007416C3"/>
    <w:rsid w:val="007417F9"/>
    <w:rsid w:val="007444C1"/>
    <w:rsid w:val="007472F6"/>
    <w:rsid w:val="0075183F"/>
    <w:rsid w:val="00752DD4"/>
    <w:rsid w:val="00753235"/>
    <w:rsid w:val="00753A9E"/>
    <w:rsid w:val="00760839"/>
    <w:rsid w:val="00760B78"/>
    <w:rsid w:val="00761511"/>
    <w:rsid w:val="0076265F"/>
    <w:rsid w:val="00763D8C"/>
    <w:rsid w:val="00764516"/>
    <w:rsid w:val="00766A78"/>
    <w:rsid w:val="00767B40"/>
    <w:rsid w:val="00770A5E"/>
    <w:rsid w:val="00772EC5"/>
    <w:rsid w:val="0077351C"/>
    <w:rsid w:val="007739B6"/>
    <w:rsid w:val="00773D4E"/>
    <w:rsid w:val="0077579A"/>
    <w:rsid w:val="00775D83"/>
    <w:rsid w:val="00777054"/>
    <w:rsid w:val="00780944"/>
    <w:rsid w:val="00781844"/>
    <w:rsid w:val="00781AE1"/>
    <w:rsid w:val="00783949"/>
    <w:rsid w:val="0078456F"/>
    <w:rsid w:val="00785DF1"/>
    <w:rsid w:val="007866B5"/>
    <w:rsid w:val="00786F3B"/>
    <w:rsid w:val="007878AB"/>
    <w:rsid w:val="00790EB6"/>
    <w:rsid w:val="00790FA0"/>
    <w:rsid w:val="007916E5"/>
    <w:rsid w:val="00792403"/>
    <w:rsid w:val="00792892"/>
    <w:rsid w:val="00794693"/>
    <w:rsid w:val="007948A4"/>
    <w:rsid w:val="0079674E"/>
    <w:rsid w:val="00796751"/>
    <w:rsid w:val="00797AEE"/>
    <w:rsid w:val="00797B8D"/>
    <w:rsid w:val="00797FE1"/>
    <w:rsid w:val="007A0808"/>
    <w:rsid w:val="007A3E07"/>
    <w:rsid w:val="007B0BF8"/>
    <w:rsid w:val="007B0E75"/>
    <w:rsid w:val="007B11A7"/>
    <w:rsid w:val="007B1242"/>
    <w:rsid w:val="007B13CC"/>
    <w:rsid w:val="007B161D"/>
    <w:rsid w:val="007B17BC"/>
    <w:rsid w:val="007B20C8"/>
    <w:rsid w:val="007B28B4"/>
    <w:rsid w:val="007B2EFD"/>
    <w:rsid w:val="007B37FE"/>
    <w:rsid w:val="007B400F"/>
    <w:rsid w:val="007B5728"/>
    <w:rsid w:val="007B6BD1"/>
    <w:rsid w:val="007B7822"/>
    <w:rsid w:val="007C0A7A"/>
    <w:rsid w:val="007C1443"/>
    <w:rsid w:val="007C3A24"/>
    <w:rsid w:val="007C485C"/>
    <w:rsid w:val="007C4DC2"/>
    <w:rsid w:val="007C4FE0"/>
    <w:rsid w:val="007C63D0"/>
    <w:rsid w:val="007C6893"/>
    <w:rsid w:val="007C79EA"/>
    <w:rsid w:val="007D16F9"/>
    <w:rsid w:val="007D32AA"/>
    <w:rsid w:val="007D4E90"/>
    <w:rsid w:val="007D6BA8"/>
    <w:rsid w:val="007D6ED9"/>
    <w:rsid w:val="007D6FE8"/>
    <w:rsid w:val="007D76E0"/>
    <w:rsid w:val="007D7D90"/>
    <w:rsid w:val="007E1937"/>
    <w:rsid w:val="007E1965"/>
    <w:rsid w:val="007E31B5"/>
    <w:rsid w:val="007E4667"/>
    <w:rsid w:val="007E467E"/>
    <w:rsid w:val="007E5D8D"/>
    <w:rsid w:val="007E71E1"/>
    <w:rsid w:val="007E7749"/>
    <w:rsid w:val="007F0714"/>
    <w:rsid w:val="007F0953"/>
    <w:rsid w:val="007F20B9"/>
    <w:rsid w:val="007F22C9"/>
    <w:rsid w:val="007F294F"/>
    <w:rsid w:val="007F2C03"/>
    <w:rsid w:val="007F3D3B"/>
    <w:rsid w:val="007F7087"/>
    <w:rsid w:val="007F73CE"/>
    <w:rsid w:val="007F7AEB"/>
    <w:rsid w:val="008009D9"/>
    <w:rsid w:val="008025F7"/>
    <w:rsid w:val="008032D2"/>
    <w:rsid w:val="008043E3"/>
    <w:rsid w:val="00804E0B"/>
    <w:rsid w:val="008056B7"/>
    <w:rsid w:val="0080682B"/>
    <w:rsid w:val="00806A3E"/>
    <w:rsid w:val="00807521"/>
    <w:rsid w:val="00811160"/>
    <w:rsid w:val="0081128C"/>
    <w:rsid w:val="008112A5"/>
    <w:rsid w:val="00811C3E"/>
    <w:rsid w:val="00812231"/>
    <w:rsid w:val="00812F1D"/>
    <w:rsid w:val="008155F1"/>
    <w:rsid w:val="008157F1"/>
    <w:rsid w:val="00815930"/>
    <w:rsid w:val="0081612F"/>
    <w:rsid w:val="00816C64"/>
    <w:rsid w:val="008179AC"/>
    <w:rsid w:val="008205A4"/>
    <w:rsid w:val="008211A0"/>
    <w:rsid w:val="008233F7"/>
    <w:rsid w:val="00823D52"/>
    <w:rsid w:val="00823F07"/>
    <w:rsid w:val="00826E73"/>
    <w:rsid w:val="008319D8"/>
    <w:rsid w:val="00831D5B"/>
    <w:rsid w:val="008334B9"/>
    <w:rsid w:val="00834957"/>
    <w:rsid w:val="00836133"/>
    <w:rsid w:val="00837827"/>
    <w:rsid w:val="00840AA2"/>
    <w:rsid w:val="00841201"/>
    <w:rsid w:val="008423C7"/>
    <w:rsid w:val="00844429"/>
    <w:rsid w:val="00845588"/>
    <w:rsid w:val="0084625C"/>
    <w:rsid w:val="00846785"/>
    <w:rsid w:val="00850FD9"/>
    <w:rsid w:val="00852C40"/>
    <w:rsid w:val="00853B48"/>
    <w:rsid w:val="00853E4E"/>
    <w:rsid w:val="00855C1A"/>
    <w:rsid w:val="00855FFC"/>
    <w:rsid w:val="00856F08"/>
    <w:rsid w:val="0086174F"/>
    <w:rsid w:val="00861941"/>
    <w:rsid w:val="00862889"/>
    <w:rsid w:val="008642F6"/>
    <w:rsid w:val="00864F88"/>
    <w:rsid w:val="00865EAD"/>
    <w:rsid w:val="008676D8"/>
    <w:rsid w:val="008677E5"/>
    <w:rsid w:val="00871439"/>
    <w:rsid w:val="00871479"/>
    <w:rsid w:val="00871C5E"/>
    <w:rsid w:val="0087537E"/>
    <w:rsid w:val="00875931"/>
    <w:rsid w:val="00876A12"/>
    <w:rsid w:val="0087721E"/>
    <w:rsid w:val="00881393"/>
    <w:rsid w:val="00881988"/>
    <w:rsid w:val="00881C90"/>
    <w:rsid w:val="0088290B"/>
    <w:rsid w:val="00882C45"/>
    <w:rsid w:val="00883860"/>
    <w:rsid w:val="00884E1C"/>
    <w:rsid w:val="00885BFD"/>
    <w:rsid w:val="00890643"/>
    <w:rsid w:val="008908BF"/>
    <w:rsid w:val="00890BEF"/>
    <w:rsid w:val="008914E5"/>
    <w:rsid w:val="00892B1B"/>
    <w:rsid w:val="00892FE6"/>
    <w:rsid w:val="0089403B"/>
    <w:rsid w:val="008940BE"/>
    <w:rsid w:val="008954C6"/>
    <w:rsid w:val="0089657C"/>
    <w:rsid w:val="008A0021"/>
    <w:rsid w:val="008A1555"/>
    <w:rsid w:val="008A17C8"/>
    <w:rsid w:val="008A2D60"/>
    <w:rsid w:val="008A7264"/>
    <w:rsid w:val="008B1079"/>
    <w:rsid w:val="008B1915"/>
    <w:rsid w:val="008B1EA4"/>
    <w:rsid w:val="008B3DE4"/>
    <w:rsid w:val="008B4298"/>
    <w:rsid w:val="008B482E"/>
    <w:rsid w:val="008B708D"/>
    <w:rsid w:val="008B7954"/>
    <w:rsid w:val="008B7E3E"/>
    <w:rsid w:val="008C09B4"/>
    <w:rsid w:val="008C0A67"/>
    <w:rsid w:val="008C0EFD"/>
    <w:rsid w:val="008C351E"/>
    <w:rsid w:val="008C38CD"/>
    <w:rsid w:val="008C5AA9"/>
    <w:rsid w:val="008C7704"/>
    <w:rsid w:val="008C7D3B"/>
    <w:rsid w:val="008D0D9E"/>
    <w:rsid w:val="008D1266"/>
    <w:rsid w:val="008D3767"/>
    <w:rsid w:val="008D481F"/>
    <w:rsid w:val="008D5267"/>
    <w:rsid w:val="008E0916"/>
    <w:rsid w:val="008E1760"/>
    <w:rsid w:val="008E24D5"/>
    <w:rsid w:val="008E3B7E"/>
    <w:rsid w:val="008E49A7"/>
    <w:rsid w:val="008E554B"/>
    <w:rsid w:val="008E55E1"/>
    <w:rsid w:val="008E6230"/>
    <w:rsid w:val="008E63B8"/>
    <w:rsid w:val="008F00A9"/>
    <w:rsid w:val="008F0973"/>
    <w:rsid w:val="008F0C5C"/>
    <w:rsid w:val="008F10D5"/>
    <w:rsid w:val="008F1426"/>
    <w:rsid w:val="008F1A22"/>
    <w:rsid w:val="008F1FBA"/>
    <w:rsid w:val="008F37BF"/>
    <w:rsid w:val="008F4507"/>
    <w:rsid w:val="008F5BB4"/>
    <w:rsid w:val="008F60AD"/>
    <w:rsid w:val="008F7698"/>
    <w:rsid w:val="00901F27"/>
    <w:rsid w:val="00902247"/>
    <w:rsid w:val="00903088"/>
    <w:rsid w:val="0090416D"/>
    <w:rsid w:val="00904A05"/>
    <w:rsid w:val="009050C7"/>
    <w:rsid w:val="009059F8"/>
    <w:rsid w:val="0090612A"/>
    <w:rsid w:val="00906E5D"/>
    <w:rsid w:val="00907BAE"/>
    <w:rsid w:val="00910EAD"/>
    <w:rsid w:val="00912258"/>
    <w:rsid w:val="00913B57"/>
    <w:rsid w:val="00913E33"/>
    <w:rsid w:val="00915E0D"/>
    <w:rsid w:val="00916877"/>
    <w:rsid w:val="00917298"/>
    <w:rsid w:val="009208AF"/>
    <w:rsid w:val="00920A76"/>
    <w:rsid w:val="009210F4"/>
    <w:rsid w:val="009217CA"/>
    <w:rsid w:val="00921CE3"/>
    <w:rsid w:val="00922823"/>
    <w:rsid w:val="00922E1C"/>
    <w:rsid w:val="00923C0F"/>
    <w:rsid w:val="00924660"/>
    <w:rsid w:val="00924D9D"/>
    <w:rsid w:val="009253BF"/>
    <w:rsid w:val="0092546E"/>
    <w:rsid w:val="009264F3"/>
    <w:rsid w:val="00930A25"/>
    <w:rsid w:val="00932170"/>
    <w:rsid w:val="0093419C"/>
    <w:rsid w:val="00934B3C"/>
    <w:rsid w:val="00934C38"/>
    <w:rsid w:val="0093598A"/>
    <w:rsid w:val="00937A0B"/>
    <w:rsid w:val="00937CCB"/>
    <w:rsid w:val="00937F6A"/>
    <w:rsid w:val="00940BE3"/>
    <w:rsid w:val="009411C8"/>
    <w:rsid w:val="00942A21"/>
    <w:rsid w:val="00942E25"/>
    <w:rsid w:val="00943B3F"/>
    <w:rsid w:val="00946CCA"/>
    <w:rsid w:val="00947B37"/>
    <w:rsid w:val="00950687"/>
    <w:rsid w:val="009540EC"/>
    <w:rsid w:val="00954B43"/>
    <w:rsid w:val="00956F84"/>
    <w:rsid w:val="00957087"/>
    <w:rsid w:val="00957F9E"/>
    <w:rsid w:val="00961BEE"/>
    <w:rsid w:val="00965BA4"/>
    <w:rsid w:val="0097031B"/>
    <w:rsid w:val="009724F4"/>
    <w:rsid w:val="009729D3"/>
    <w:rsid w:val="00972C9F"/>
    <w:rsid w:val="00974BA2"/>
    <w:rsid w:val="00974C38"/>
    <w:rsid w:val="00975367"/>
    <w:rsid w:val="00980A76"/>
    <w:rsid w:val="00980C3F"/>
    <w:rsid w:val="00980E97"/>
    <w:rsid w:val="00981354"/>
    <w:rsid w:val="009833AD"/>
    <w:rsid w:val="009835F7"/>
    <w:rsid w:val="00983651"/>
    <w:rsid w:val="00986289"/>
    <w:rsid w:val="00991A92"/>
    <w:rsid w:val="009922D8"/>
    <w:rsid w:val="009933FA"/>
    <w:rsid w:val="00993995"/>
    <w:rsid w:val="00994B26"/>
    <w:rsid w:val="00995CD3"/>
    <w:rsid w:val="0099648D"/>
    <w:rsid w:val="009A1190"/>
    <w:rsid w:val="009A1310"/>
    <w:rsid w:val="009A42E5"/>
    <w:rsid w:val="009A61FF"/>
    <w:rsid w:val="009A73DF"/>
    <w:rsid w:val="009B0672"/>
    <w:rsid w:val="009B39E4"/>
    <w:rsid w:val="009B4AD5"/>
    <w:rsid w:val="009B4D5E"/>
    <w:rsid w:val="009B5D4F"/>
    <w:rsid w:val="009B6013"/>
    <w:rsid w:val="009B64DE"/>
    <w:rsid w:val="009B6980"/>
    <w:rsid w:val="009B6FFA"/>
    <w:rsid w:val="009B781F"/>
    <w:rsid w:val="009B788A"/>
    <w:rsid w:val="009C04E6"/>
    <w:rsid w:val="009C0507"/>
    <w:rsid w:val="009C0AD1"/>
    <w:rsid w:val="009C0AD4"/>
    <w:rsid w:val="009C0CD5"/>
    <w:rsid w:val="009C1164"/>
    <w:rsid w:val="009C1184"/>
    <w:rsid w:val="009C1B08"/>
    <w:rsid w:val="009C2094"/>
    <w:rsid w:val="009C275D"/>
    <w:rsid w:val="009C2796"/>
    <w:rsid w:val="009C3785"/>
    <w:rsid w:val="009C3BEC"/>
    <w:rsid w:val="009C411C"/>
    <w:rsid w:val="009C4819"/>
    <w:rsid w:val="009C4848"/>
    <w:rsid w:val="009C4909"/>
    <w:rsid w:val="009C513A"/>
    <w:rsid w:val="009C596D"/>
    <w:rsid w:val="009C5A7C"/>
    <w:rsid w:val="009C6055"/>
    <w:rsid w:val="009C741B"/>
    <w:rsid w:val="009C7552"/>
    <w:rsid w:val="009C794D"/>
    <w:rsid w:val="009C7D7B"/>
    <w:rsid w:val="009D0A70"/>
    <w:rsid w:val="009D28DD"/>
    <w:rsid w:val="009E07FD"/>
    <w:rsid w:val="009E12D6"/>
    <w:rsid w:val="009E1EE6"/>
    <w:rsid w:val="009E224F"/>
    <w:rsid w:val="009E22CA"/>
    <w:rsid w:val="009E2600"/>
    <w:rsid w:val="009E27BE"/>
    <w:rsid w:val="009E31EE"/>
    <w:rsid w:val="009E449D"/>
    <w:rsid w:val="009E535D"/>
    <w:rsid w:val="009E605F"/>
    <w:rsid w:val="009F1DAB"/>
    <w:rsid w:val="009F2F51"/>
    <w:rsid w:val="009F3264"/>
    <w:rsid w:val="009F336C"/>
    <w:rsid w:val="009F47F0"/>
    <w:rsid w:val="009F50BD"/>
    <w:rsid w:val="009F5336"/>
    <w:rsid w:val="009F5B17"/>
    <w:rsid w:val="00A0025D"/>
    <w:rsid w:val="00A00A67"/>
    <w:rsid w:val="00A00CC5"/>
    <w:rsid w:val="00A01094"/>
    <w:rsid w:val="00A015AA"/>
    <w:rsid w:val="00A0174B"/>
    <w:rsid w:val="00A01904"/>
    <w:rsid w:val="00A02949"/>
    <w:rsid w:val="00A04F73"/>
    <w:rsid w:val="00A05EE1"/>
    <w:rsid w:val="00A06373"/>
    <w:rsid w:val="00A07589"/>
    <w:rsid w:val="00A127FD"/>
    <w:rsid w:val="00A13951"/>
    <w:rsid w:val="00A1431F"/>
    <w:rsid w:val="00A14AD2"/>
    <w:rsid w:val="00A15771"/>
    <w:rsid w:val="00A20C32"/>
    <w:rsid w:val="00A20D48"/>
    <w:rsid w:val="00A221D3"/>
    <w:rsid w:val="00A22C4B"/>
    <w:rsid w:val="00A2455A"/>
    <w:rsid w:val="00A247B9"/>
    <w:rsid w:val="00A260BC"/>
    <w:rsid w:val="00A2712F"/>
    <w:rsid w:val="00A27A60"/>
    <w:rsid w:val="00A3040F"/>
    <w:rsid w:val="00A30B66"/>
    <w:rsid w:val="00A30E30"/>
    <w:rsid w:val="00A3302F"/>
    <w:rsid w:val="00A355F0"/>
    <w:rsid w:val="00A35984"/>
    <w:rsid w:val="00A35A77"/>
    <w:rsid w:val="00A36762"/>
    <w:rsid w:val="00A36E02"/>
    <w:rsid w:val="00A37080"/>
    <w:rsid w:val="00A4087C"/>
    <w:rsid w:val="00A40F97"/>
    <w:rsid w:val="00A41B27"/>
    <w:rsid w:val="00A42FC2"/>
    <w:rsid w:val="00A44474"/>
    <w:rsid w:val="00A44945"/>
    <w:rsid w:val="00A45586"/>
    <w:rsid w:val="00A459B1"/>
    <w:rsid w:val="00A46633"/>
    <w:rsid w:val="00A46B3F"/>
    <w:rsid w:val="00A5462C"/>
    <w:rsid w:val="00A5485F"/>
    <w:rsid w:val="00A54C6B"/>
    <w:rsid w:val="00A552A8"/>
    <w:rsid w:val="00A567AC"/>
    <w:rsid w:val="00A56D21"/>
    <w:rsid w:val="00A570DA"/>
    <w:rsid w:val="00A57D0A"/>
    <w:rsid w:val="00A6060B"/>
    <w:rsid w:val="00A60925"/>
    <w:rsid w:val="00A611BC"/>
    <w:rsid w:val="00A61888"/>
    <w:rsid w:val="00A63A39"/>
    <w:rsid w:val="00A63D98"/>
    <w:rsid w:val="00A63F4D"/>
    <w:rsid w:val="00A642D5"/>
    <w:rsid w:val="00A645FA"/>
    <w:rsid w:val="00A64AC8"/>
    <w:rsid w:val="00A64D30"/>
    <w:rsid w:val="00A7162C"/>
    <w:rsid w:val="00A7203D"/>
    <w:rsid w:val="00A72072"/>
    <w:rsid w:val="00A730D7"/>
    <w:rsid w:val="00A73324"/>
    <w:rsid w:val="00A75830"/>
    <w:rsid w:val="00A760C5"/>
    <w:rsid w:val="00A76A9A"/>
    <w:rsid w:val="00A803FD"/>
    <w:rsid w:val="00A808B9"/>
    <w:rsid w:val="00A80C01"/>
    <w:rsid w:val="00A813A2"/>
    <w:rsid w:val="00A821B9"/>
    <w:rsid w:val="00A86957"/>
    <w:rsid w:val="00A86C6E"/>
    <w:rsid w:val="00A91B1D"/>
    <w:rsid w:val="00A92AEA"/>
    <w:rsid w:val="00A93C81"/>
    <w:rsid w:val="00A9692E"/>
    <w:rsid w:val="00A97609"/>
    <w:rsid w:val="00A97786"/>
    <w:rsid w:val="00AA0723"/>
    <w:rsid w:val="00AA1C73"/>
    <w:rsid w:val="00AA378D"/>
    <w:rsid w:val="00AA523B"/>
    <w:rsid w:val="00AA76EB"/>
    <w:rsid w:val="00AB1CD3"/>
    <w:rsid w:val="00AB1F2C"/>
    <w:rsid w:val="00AB2A36"/>
    <w:rsid w:val="00AB34C2"/>
    <w:rsid w:val="00AB3ADC"/>
    <w:rsid w:val="00AB3D08"/>
    <w:rsid w:val="00AB5BC1"/>
    <w:rsid w:val="00AB5F77"/>
    <w:rsid w:val="00AB6188"/>
    <w:rsid w:val="00AC11C4"/>
    <w:rsid w:val="00AC1AF2"/>
    <w:rsid w:val="00AC1DC3"/>
    <w:rsid w:val="00AC2950"/>
    <w:rsid w:val="00AC2B58"/>
    <w:rsid w:val="00AC5AE6"/>
    <w:rsid w:val="00AC6FA8"/>
    <w:rsid w:val="00AD0176"/>
    <w:rsid w:val="00AD0757"/>
    <w:rsid w:val="00AD14A7"/>
    <w:rsid w:val="00AD26B7"/>
    <w:rsid w:val="00AD2C48"/>
    <w:rsid w:val="00AD4563"/>
    <w:rsid w:val="00AE06B8"/>
    <w:rsid w:val="00AE08AC"/>
    <w:rsid w:val="00AE13A0"/>
    <w:rsid w:val="00AE257B"/>
    <w:rsid w:val="00AE2C49"/>
    <w:rsid w:val="00AE3AFE"/>
    <w:rsid w:val="00AE50E3"/>
    <w:rsid w:val="00AE5537"/>
    <w:rsid w:val="00AE5FD0"/>
    <w:rsid w:val="00AE72FE"/>
    <w:rsid w:val="00AE741A"/>
    <w:rsid w:val="00AF0FDE"/>
    <w:rsid w:val="00AF14FF"/>
    <w:rsid w:val="00AF1E23"/>
    <w:rsid w:val="00AF277A"/>
    <w:rsid w:val="00AF2821"/>
    <w:rsid w:val="00AF54FF"/>
    <w:rsid w:val="00AF607F"/>
    <w:rsid w:val="00AF62F4"/>
    <w:rsid w:val="00AF6BBA"/>
    <w:rsid w:val="00B0084D"/>
    <w:rsid w:val="00B02228"/>
    <w:rsid w:val="00B028D6"/>
    <w:rsid w:val="00B02CF4"/>
    <w:rsid w:val="00B04D56"/>
    <w:rsid w:val="00B10184"/>
    <w:rsid w:val="00B10234"/>
    <w:rsid w:val="00B10A6C"/>
    <w:rsid w:val="00B11F5E"/>
    <w:rsid w:val="00B12CD3"/>
    <w:rsid w:val="00B13A43"/>
    <w:rsid w:val="00B156E8"/>
    <w:rsid w:val="00B20935"/>
    <w:rsid w:val="00B20F1A"/>
    <w:rsid w:val="00B2233D"/>
    <w:rsid w:val="00B226BA"/>
    <w:rsid w:val="00B2399B"/>
    <w:rsid w:val="00B2570D"/>
    <w:rsid w:val="00B260D4"/>
    <w:rsid w:val="00B3002B"/>
    <w:rsid w:val="00B30224"/>
    <w:rsid w:val="00B313FD"/>
    <w:rsid w:val="00B318A1"/>
    <w:rsid w:val="00B31A1B"/>
    <w:rsid w:val="00B331E9"/>
    <w:rsid w:val="00B3563F"/>
    <w:rsid w:val="00B3734C"/>
    <w:rsid w:val="00B4059C"/>
    <w:rsid w:val="00B423E5"/>
    <w:rsid w:val="00B430C6"/>
    <w:rsid w:val="00B436FC"/>
    <w:rsid w:val="00B43948"/>
    <w:rsid w:val="00B445DD"/>
    <w:rsid w:val="00B44EC5"/>
    <w:rsid w:val="00B46E96"/>
    <w:rsid w:val="00B47611"/>
    <w:rsid w:val="00B47B78"/>
    <w:rsid w:val="00B47B7B"/>
    <w:rsid w:val="00B5078F"/>
    <w:rsid w:val="00B50E50"/>
    <w:rsid w:val="00B51A81"/>
    <w:rsid w:val="00B51B0F"/>
    <w:rsid w:val="00B53210"/>
    <w:rsid w:val="00B532A9"/>
    <w:rsid w:val="00B549AB"/>
    <w:rsid w:val="00B559DC"/>
    <w:rsid w:val="00B56A21"/>
    <w:rsid w:val="00B61B53"/>
    <w:rsid w:val="00B62233"/>
    <w:rsid w:val="00B62C71"/>
    <w:rsid w:val="00B631A8"/>
    <w:rsid w:val="00B6387A"/>
    <w:rsid w:val="00B64C0C"/>
    <w:rsid w:val="00B65189"/>
    <w:rsid w:val="00B6526B"/>
    <w:rsid w:val="00B66FCF"/>
    <w:rsid w:val="00B67198"/>
    <w:rsid w:val="00B675CB"/>
    <w:rsid w:val="00B7046A"/>
    <w:rsid w:val="00B714EE"/>
    <w:rsid w:val="00B720E0"/>
    <w:rsid w:val="00B72E43"/>
    <w:rsid w:val="00B73541"/>
    <w:rsid w:val="00B73738"/>
    <w:rsid w:val="00B73912"/>
    <w:rsid w:val="00B73D41"/>
    <w:rsid w:val="00B7489C"/>
    <w:rsid w:val="00B74AFD"/>
    <w:rsid w:val="00B75AB4"/>
    <w:rsid w:val="00B77A45"/>
    <w:rsid w:val="00B80938"/>
    <w:rsid w:val="00B812FE"/>
    <w:rsid w:val="00B81943"/>
    <w:rsid w:val="00B81F1A"/>
    <w:rsid w:val="00B83F5E"/>
    <w:rsid w:val="00B84278"/>
    <w:rsid w:val="00B84DEB"/>
    <w:rsid w:val="00B85672"/>
    <w:rsid w:val="00B85B08"/>
    <w:rsid w:val="00B85DE5"/>
    <w:rsid w:val="00B86333"/>
    <w:rsid w:val="00B866BE"/>
    <w:rsid w:val="00B86EFD"/>
    <w:rsid w:val="00B872AE"/>
    <w:rsid w:val="00B9062A"/>
    <w:rsid w:val="00B908B9"/>
    <w:rsid w:val="00B9151D"/>
    <w:rsid w:val="00B91870"/>
    <w:rsid w:val="00B928E5"/>
    <w:rsid w:val="00B929FC"/>
    <w:rsid w:val="00B95927"/>
    <w:rsid w:val="00B95A7E"/>
    <w:rsid w:val="00B97250"/>
    <w:rsid w:val="00B97EC2"/>
    <w:rsid w:val="00BA19B4"/>
    <w:rsid w:val="00BA2AE2"/>
    <w:rsid w:val="00BA2C90"/>
    <w:rsid w:val="00BA2F84"/>
    <w:rsid w:val="00BA52EF"/>
    <w:rsid w:val="00BA56FC"/>
    <w:rsid w:val="00BB0506"/>
    <w:rsid w:val="00BB067B"/>
    <w:rsid w:val="00BB160A"/>
    <w:rsid w:val="00BB1746"/>
    <w:rsid w:val="00BB2E54"/>
    <w:rsid w:val="00BB41BC"/>
    <w:rsid w:val="00BB7F06"/>
    <w:rsid w:val="00BC036D"/>
    <w:rsid w:val="00BC12A5"/>
    <w:rsid w:val="00BC12CA"/>
    <w:rsid w:val="00BC1E12"/>
    <w:rsid w:val="00BC2378"/>
    <w:rsid w:val="00BC3C76"/>
    <w:rsid w:val="00BC402A"/>
    <w:rsid w:val="00BC47FF"/>
    <w:rsid w:val="00BC7A70"/>
    <w:rsid w:val="00BD0BE0"/>
    <w:rsid w:val="00BD2A0C"/>
    <w:rsid w:val="00BD5EBA"/>
    <w:rsid w:val="00BD7474"/>
    <w:rsid w:val="00BD7F20"/>
    <w:rsid w:val="00BE0E68"/>
    <w:rsid w:val="00BE1309"/>
    <w:rsid w:val="00BE1D14"/>
    <w:rsid w:val="00BE2308"/>
    <w:rsid w:val="00BE2567"/>
    <w:rsid w:val="00BE2B46"/>
    <w:rsid w:val="00BE2BDE"/>
    <w:rsid w:val="00BE37B2"/>
    <w:rsid w:val="00BE491A"/>
    <w:rsid w:val="00BE6346"/>
    <w:rsid w:val="00BE74E6"/>
    <w:rsid w:val="00BE7BA9"/>
    <w:rsid w:val="00BF5A49"/>
    <w:rsid w:val="00BF6708"/>
    <w:rsid w:val="00BF7D02"/>
    <w:rsid w:val="00C000D0"/>
    <w:rsid w:val="00C00CA5"/>
    <w:rsid w:val="00C02856"/>
    <w:rsid w:val="00C032F6"/>
    <w:rsid w:val="00C03AF2"/>
    <w:rsid w:val="00C03E42"/>
    <w:rsid w:val="00C06206"/>
    <w:rsid w:val="00C06387"/>
    <w:rsid w:val="00C063FA"/>
    <w:rsid w:val="00C1065E"/>
    <w:rsid w:val="00C11338"/>
    <w:rsid w:val="00C119C0"/>
    <w:rsid w:val="00C11F87"/>
    <w:rsid w:val="00C136EF"/>
    <w:rsid w:val="00C14530"/>
    <w:rsid w:val="00C15573"/>
    <w:rsid w:val="00C15A02"/>
    <w:rsid w:val="00C1653E"/>
    <w:rsid w:val="00C167BF"/>
    <w:rsid w:val="00C170CE"/>
    <w:rsid w:val="00C17323"/>
    <w:rsid w:val="00C20E9B"/>
    <w:rsid w:val="00C21559"/>
    <w:rsid w:val="00C22498"/>
    <w:rsid w:val="00C22A75"/>
    <w:rsid w:val="00C2371A"/>
    <w:rsid w:val="00C23A6D"/>
    <w:rsid w:val="00C2494B"/>
    <w:rsid w:val="00C25939"/>
    <w:rsid w:val="00C263DE"/>
    <w:rsid w:val="00C26A7B"/>
    <w:rsid w:val="00C2775B"/>
    <w:rsid w:val="00C278A5"/>
    <w:rsid w:val="00C3023D"/>
    <w:rsid w:val="00C30FD4"/>
    <w:rsid w:val="00C3166B"/>
    <w:rsid w:val="00C32441"/>
    <w:rsid w:val="00C32AC9"/>
    <w:rsid w:val="00C338CD"/>
    <w:rsid w:val="00C368A5"/>
    <w:rsid w:val="00C37028"/>
    <w:rsid w:val="00C37FAD"/>
    <w:rsid w:val="00C406A0"/>
    <w:rsid w:val="00C410A0"/>
    <w:rsid w:val="00C41B4A"/>
    <w:rsid w:val="00C42476"/>
    <w:rsid w:val="00C460A5"/>
    <w:rsid w:val="00C46C0D"/>
    <w:rsid w:val="00C47FE8"/>
    <w:rsid w:val="00C50058"/>
    <w:rsid w:val="00C5044C"/>
    <w:rsid w:val="00C51868"/>
    <w:rsid w:val="00C518DF"/>
    <w:rsid w:val="00C51D1E"/>
    <w:rsid w:val="00C528F1"/>
    <w:rsid w:val="00C5380E"/>
    <w:rsid w:val="00C5395A"/>
    <w:rsid w:val="00C54B32"/>
    <w:rsid w:val="00C55FA5"/>
    <w:rsid w:val="00C55FBD"/>
    <w:rsid w:val="00C56558"/>
    <w:rsid w:val="00C57302"/>
    <w:rsid w:val="00C60990"/>
    <w:rsid w:val="00C619CB"/>
    <w:rsid w:val="00C649F4"/>
    <w:rsid w:val="00C654B4"/>
    <w:rsid w:val="00C65D53"/>
    <w:rsid w:val="00C676E0"/>
    <w:rsid w:val="00C72ADC"/>
    <w:rsid w:val="00C72D15"/>
    <w:rsid w:val="00C7338D"/>
    <w:rsid w:val="00C73A1F"/>
    <w:rsid w:val="00C75E70"/>
    <w:rsid w:val="00C75FA6"/>
    <w:rsid w:val="00C76001"/>
    <w:rsid w:val="00C77767"/>
    <w:rsid w:val="00C8131D"/>
    <w:rsid w:val="00C8137C"/>
    <w:rsid w:val="00C82D8F"/>
    <w:rsid w:val="00C82F1B"/>
    <w:rsid w:val="00C83693"/>
    <w:rsid w:val="00C83D11"/>
    <w:rsid w:val="00C860CF"/>
    <w:rsid w:val="00C86916"/>
    <w:rsid w:val="00C90CAA"/>
    <w:rsid w:val="00C916E1"/>
    <w:rsid w:val="00C93057"/>
    <w:rsid w:val="00C932A0"/>
    <w:rsid w:val="00C93C02"/>
    <w:rsid w:val="00C95171"/>
    <w:rsid w:val="00C967CF"/>
    <w:rsid w:val="00C970B5"/>
    <w:rsid w:val="00C976ED"/>
    <w:rsid w:val="00C97B59"/>
    <w:rsid w:val="00CA0F09"/>
    <w:rsid w:val="00CA1251"/>
    <w:rsid w:val="00CA1D94"/>
    <w:rsid w:val="00CA6B30"/>
    <w:rsid w:val="00CA70F6"/>
    <w:rsid w:val="00CA7774"/>
    <w:rsid w:val="00CB1584"/>
    <w:rsid w:val="00CB2976"/>
    <w:rsid w:val="00CB3095"/>
    <w:rsid w:val="00CB3616"/>
    <w:rsid w:val="00CB45D9"/>
    <w:rsid w:val="00CB64AA"/>
    <w:rsid w:val="00CB6D5B"/>
    <w:rsid w:val="00CB6F4E"/>
    <w:rsid w:val="00CC0AA2"/>
    <w:rsid w:val="00CC141C"/>
    <w:rsid w:val="00CC23B3"/>
    <w:rsid w:val="00CC4165"/>
    <w:rsid w:val="00CC56DF"/>
    <w:rsid w:val="00CC67D7"/>
    <w:rsid w:val="00CD01AC"/>
    <w:rsid w:val="00CD07D2"/>
    <w:rsid w:val="00CD15E9"/>
    <w:rsid w:val="00CD1A7C"/>
    <w:rsid w:val="00CD1F79"/>
    <w:rsid w:val="00CD215A"/>
    <w:rsid w:val="00CD2FCA"/>
    <w:rsid w:val="00CD3630"/>
    <w:rsid w:val="00CD4724"/>
    <w:rsid w:val="00CD4A13"/>
    <w:rsid w:val="00CD5169"/>
    <w:rsid w:val="00CD7627"/>
    <w:rsid w:val="00CD763A"/>
    <w:rsid w:val="00CE0576"/>
    <w:rsid w:val="00CE0949"/>
    <w:rsid w:val="00CE1020"/>
    <w:rsid w:val="00CE140C"/>
    <w:rsid w:val="00CE2725"/>
    <w:rsid w:val="00CE342E"/>
    <w:rsid w:val="00CE3AEC"/>
    <w:rsid w:val="00CE476E"/>
    <w:rsid w:val="00CE5000"/>
    <w:rsid w:val="00CE527E"/>
    <w:rsid w:val="00CE70B4"/>
    <w:rsid w:val="00CE7A23"/>
    <w:rsid w:val="00CF1A67"/>
    <w:rsid w:val="00CF28B9"/>
    <w:rsid w:val="00CF2AFB"/>
    <w:rsid w:val="00CF3D57"/>
    <w:rsid w:val="00CF63DE"/>
    <w:rsid w:val="00CF65B6"/>
    <w:rsid w:val="00CF7FAE"/>
    <w:rsid w:val="00D020E1"/>
    <w:rsid w:val="00D030BC"/>
    <w:rsid w:val="00D0394D"/>
    <w:rsid w:val="00D0434F"/>
    <w:rsid w:val="00D0513B"/>
    <w:rsid w:val="00D06153"/>
    <w:rsid w:val="00D0643C"/>
    <w:rsid w:val="00D07D04"/>
    <w:rsid w:val="00D1043E"/>
    <w:rsid w:val="00D10690"/>
    <w:rsid w:val="00D10B7E"/>
    <w:rsid w:val="00D10D0F"/>
    <w:rsid w:val="00D11E86"/>
    <w:rsid w:val="00D12354"/>
    <w:rsid w:val="00D1316B"/>
    <w:rsid w:val="00D13421"/>
    <w:rsid w:val="00D14ACB"/>
    <w:rsid w:val="00D14B03"/>
    <w:rsid w:val="00D1652A"/>
    <w:rsid w:val="00D169BA"/>
    <w:rsid w:val="00D17267"/>
    <w:rsid w:val="00D17656"/>
    <w:rsid w:val="00D234DD"/>
    <w:rsid w:val="00D23647"/>
    <w:rsid w:val="00D274A7"/>
    <w:rsid w:val="00D276B4"/>
    <w:rsid w:val="00D27A80"/>
    <w:rsid w:val="00D30F44"/>
    <w:rsid w:val="00D311F3"/>
    <w:rsid w:val="00D36947"/>
    <w:rsid w:val="00D409C2"/>
    <w:rsid w:val="00D417A5"/>
    <w:rsid w:val="00D422C0"/>
    <w:rsid w:val="00D4437D"/>
    <w:rsid w:val="00D45DFE"/>
    <w:rsid w:val="00D46491"/>
    <w:rsid w:val="00D47327"/>
    <w:rsid w:val="00D50C82"/>
    <w:rsid w:val="00D541E4"/>
    <w:rsid w:val="00D564B4"/>
    <w:rsid w:val="00D57617"/>
    <w:rsid w:val="00D57D54"/>
    <w:rsid w:val="00D653FD"/>
    <w:rsid w:val="00D679D8"/>
    <w:rsid w:val="00D7029F"/>
    <w:rsid w:val="00D702B5"/>
    <w:rsid w:val="00D703AE"/>
    <w:rsid w:val="00D70EF4"/>
    <w:rsid w:val="00D71239"/>
    <w:rsid w:val="00D71410"/>
    <w:rsid w:val="00D71826"/>
    <w:rsid w:val="00D72467"/>
    <w:rsid w:val="00D73233"/>
    <w:rsid w:val="00D73427"/>
    <w:rsid w:val="00D73EB2"/>
    <w:rsid w:val="00D75ADA"/>
    <w:rsid w:val="00D76D93"/>
    <w:rsid w:val="00D76EBA"/>
    <w:rsid w:val="00D76F5F"/>
    <w:rsid w:val="00D80D8C"/>
    <w:rsid w:val="00D8121B"/>
    <w:rsid w:val="00D812F8"/>
    <w:rsid w:val="00D81398"/>
    <w:rsid w:val="00D81723"/>
    <w:rsid w:val="00D81756"/>
    <w:rsid w:val="00D8212E"/>
    <w:rsid w:val="00D82D27"/>
    <w:rsid w:val="00D857F5"/>
    <w:rsid w:val="00D86FAA"/>
    <w:rsid w:val="00D871DE"/>
    <w:rsid w:val="00D9032B"/>
    <w:rsid w:val="00D9091C"/>
    <w:rsid w:val="00D928A3"/>
    <w:rsid w:val="00D94AD5"/>
    <w:rsid w:val="00D960D9"/>
    <w:rsid w:val="00D96614"/>
    <w:rsid w:val="00DA0A11"/>
    <w:rsid w:val="00DA10FE"/>
    <w:rsid w:val="00DA25D4"/>
    <w:rsid w:val="00DA32C8"/>
    <w:rsid w:val="00DA6869"/>
    <w:rsid w:val="00DA6B11"/>
    <w:rsid w:val="00DA73EB"/>
    <w:rsid w:val="00DB595B"/>
    <w:rsid w:val="00DB6514"/>
    <w:rsid w:val="00DB6A8B"/>
    <w:rsid w:val="00DB6AC8"/>
    <w:rsid w:val="00DB7739"/>
    <w:rsid w:val="00DC48CD"/>
    <w:rsid w:val="00DC4CDA"/>
    <w:rsid w:val="00DC5465"/>
    <w:rsid w:val="00DC5862"/>
    <w:rsid w:val="00DC678E"/>
    <w:rsid w:val="00DC6B76"/>
    <w:rsid w:val="00DC7FD7"/>
    <w:rsid w:val="00DD0885"/>
    <w:rsid w:val="00DD0EFB"/>
    <w:rsid w:val="00DD1685"/>
    <w:rsid w:val="00DD24BF"/>
    <w:rsid w:val="00DD2FC0"/>
    <w:rsid w:val="00DD56A9"/>
    <w:rsid w:val="00DD63E2"/>
    <w:rsid w:val="00DD6DC3"/>
    <w:rsid w:val="00DE067D"/>
    <w:rsid w:val="00DE0DE5"/>
    <w:rsid w:val="00DE17C5"/>
    <w:rsid w:val="00DE3611"/>
    <w:rsid w:val="00DE4261"/>
    <w:rsid w:val="00DE5224"/>
    <w:rsid w:val="00DE526B"/>
    <w:rsid w:val="00DE620A"/>
    <w:rsid w:val="00DF04C9"/>
    <w:rsid w:val="00DF3FC8"/>
    <w:rsid w:val="00DF4F9E"/>
    <w:rsid w:val="00DF52E0"/>
    <w:rsid w:val="00DF68D6"/>
    <w:rsid w:val="00DF79E5"/>
    <w:rsid w:val="00E00CB5"/>
    <w:rsid w:val="00E01349"/>
    <w:rsid w:val="00E01989"/>
    <w:rsid w:val="00E023A8"/>
    <w:rsid w:val="00E047C2"/>
    <w:rsid w:val="00E107F0"/>
    <w:rsid w:val="00E109EC"/>
    <w:rsid w:val="00E109FB"/>
    <w:rsid w:val="00E10E0F"/>
    <w:rsid w:val="00E11BC7"/>
    <w:rsid w:val="00E11DDD"/>
    <w:rsid w:val="00E12289"/>
    <w:rsid w:val="00E1369F"/>
    <w:rsid w:val="00E143B8"/>
    <w:rsid w:val="00E14694"/>
    <w:rsid w:val="00E1712E"/>
    <w:rsid w:val="00E210BF"/>
    <w:rsid w:val="00E21F17"/>
    <w:rsid w:val="00E2348B"/>
    <w:rsid w:val="00E24E60"/>
    <w:rsid w:val="00E2508E"/>
    <w:rsid w:val="00E25E29"/>
    <w:rsid w:val="00E276BD"/>
    <w:rsid w:val="00E31038"/>
    <w:rsid w:val="00E316BE"/>
    <w:rsid w:val="00E33C35"/>
    <w:rsid w:val="00E352AC"/>
    <w:rsid w:val="00E353FE"/>
    <w:rsid w:val="00E35C66"/>
    <w:rsid w:val="00E40AFC"/>
    <w:rsid w:val="00E40C51"/>
    <w:rsid w:val="00E418E6"/>
    <w:rsid w:val="00E43D5D"/>
    <w:rsid w:val="00E44478"/>
    <w:rsid w:val="00E4617E"/>
    <w:rsid w:val="00E4626F"/>
    <w:rsid w:val="00E46F7B"/>
    <w:rsid w:val="00E5019D"/>
    <w:rsid w:val="00E50BA3"/>
    <w:rsid w:val="00E50E95"/>
    <w:rsid w:val="00E51295"/>
    <w:rsid w:val="00E51C7F"/>
    <w:rsid w:val="00E53970"/>
    <w:rsid w:val="00E5421D"/>
    <w:rsid w:val="00E54E8D"/>
    <w:rsid w:val="00E568E6"/>
    <w:rsid w:val="00E5693D"/>
    <w:rsid w:val="00E56D84"/>
    <w:rsid w:val="00E6196E"/>
    <w:rsid w:val="00E62A04"/>
    <w:rsid w:val="00E642BF"/>
    <w:rsid w:val="00E70002"/>
    <w:rsid w:val="00E70865"/>
    <w:rsid w:val="00E71262"/>
    <w:rsid w:val="00E71EE1"/>
    <w:rsid w:val="00E72F52"/>
    <w:rsid w:val="00E7465F"/>
    <w:rsid w:val="00E74B3A"/>
    <w:rsid w:val="00E7628A"/>
    <w:rsid w:val="00E764FC"/>
    <w:rsid w:val="00E77548"/>
    <w:rsid w:val="00E77603"/>
    <w:rsid w:val="00E80B18"/>
    <w:rsid w:val="00E811DB"/>
    <w:rsid w:val="00E833C1"/>
    <w:rsid w:val="00E84237"/>
    <w:rsid w:val="00E86E3D"/>
    <w:rsid w:val="00E93241"/>
    <w:rsid w:val="00E93DF3"/>
    <w:rsid w:val="00E94BCE"/>
    <w:rsid w:val="00E94DE4"/>
    <w:rsid w:val="00E94E14"/>
    <w:rsid w:val="00E972DE"/>
    <w:rsid w:val="00E979CC"/>
    <w:rsid w:val="00EA0716"/>
    <w:rsid w:val="00EA0CC3"/>
    <w:rsid w:val="00EA29AA"/>
    <w:rsid w:val="00EA2E34"/>
    <w:rsid w:val="00EA3DCF"/>
    <w:rsid w:val="00EA4764"/>
    <w:rsid w:val="00EA4F74"/>
    <w:rsid w:val="00EA68B1"/>
    <w:rsid w:val="00EA7184"/>
    <w:rsid w:val="00EB0474"/>
    <w:rsid w:val="00EB08E6"/>
    <w:rsid w:val="00EB0F41"/>
    <w:rsid w:val="00EB15D1"/>
    <w:rsid w:val="00EB3311"/>
    <w:rsid w:val="00EB4973"/>
    <w:rsid w:val="00EB5D65"/>
    <w:rsid w:val="00EB780C"/>
    <w:rsid w:val="00EB7CCD"/>
    <w:rsid w:val="00EC08B1"/>
    <w:rsid w:val="00EC0E48"/>
    <w:rsid w:val="00EC2D56"/>
    <w:rsid w:val="00EC310C"/>
    <w:rsid w:val="00EC5DAE"/>
    <w:rsid w:val="00EC7A20"/>
    <w:rsid w:val="00EC7D64"/>
    <w:rsid w:val="00ED012F"/>
    <w:rsid w:val="00ED1EEA"/>
    <w:rsid w:val="00ED3ED0"/>
    <w:rsid w:val="00ED41CA"/>
    <w:rsid w:val="00ED4C79"/>
    <w:rsid w:val="00ED59F6"/>
    <w:rsid w:val="00ED6A19"/>
    <w:rsid w:val="00ED73AB"/>
    <w:rsid w:val="00ED7618"/>
    <w:rsid w:val="00ED7C74"/>
    <w:rsid w:val="00EE0D7F"/>
    <w:rsid w:val="00EE2CA3"/>
    <w:rsid w:val="00EE3050"/>
    <w:rsid w:val="00EE3DA4"/>
    <w:rsid w:val="00EE3E77"/>
    <w:rsid w:val="00EE4FEF"/>
    <w:rsid w:val="00EE4FFB"/>
    <w:rsid w:val="00EE5DE6"/>
    <w:rsid w:val="00EE6268"/>
    <w:rsid w:val="00EE685B"/>
    <w:rsid w:val="00EE6A6D"/>
    <w:rsid w:val="00EE7F62"/>
    <w:rsid w:val="00EF0921"/>
    <w:rsid w:val="00EF0CDA"/>
    <w:rsid w:val="00EF29A7"/>
    <w:rsid w:val="00EF2F0C"/>
    <w:rsid w:val="00EF389B"/>
    <w:rsid w:val="00EF3FC9"/>
    <w:rsid w:val="00EF4F3D"/>
    <w:rsid w:val="00EF507D"/>
    <w:rsid w:val="00EF5B60"/>
    <w:rsid w:val="00EF5DCE"/>
    <w:rsid w:val="00EF686B"/>
    <w:rsid w:val="00EF6FBF"/>
    <w:rsid w:val="00F019D8"/>
    <w:rsid w:val="00F01F09"/>
    <w:rsid w:val="00F024E9"/>
    <w:rsid w:val="00F02760"/>
    <w:rsid w:val="00F03965"/>
    <w:rsid w:val="00F066C9"/>
    <w:rsid w:val="00F06963"/>
    <w:rsid w:val="00F079BD"/>
    <w:rsid w:val="00F079FC"/>
    <w:rsid w:val="00F07CB6"/>
    <w:rsid w:val="00F10877"/>
    <w:rsid w:val="00F10CAB"/>
    <w:rsid w:val="00F127E3"/>
    <w:rsid w:val="00F149A2"/>
    <w:rsid w:val="00F14E66"/>
    <w:rsid w:val="00F15963"/>
    <w:rsid w:val="00F169B1"/>
    <w:rsid w:val="00F21580"/>
    <w:rsid w:val="00F2195C"/>
    <w:rsid w:val="00F2214D"/>
    <w:rsid w:val="00F259E0"/>
    <w:rsid w:val="00F301BB"/>
    <w:rsid w:val="00F30E14"/>
    <w:rsid w:val="00F32121"/>
    <w:rsid w:val="00F330B6"/>
    <w:rsid w:val="00F33E1B"/>
    <w:rsid w:val="00F34207"/>
    <w:rsid w:val="00F35254"/>
    <w:rsid w:val="00F35988"/>
    <w:rsid w:val="00F36ECB"/>
    <w:rsid w:val="00F37929"/>
    <w:rsid w:val="00F37E5F"/>
    <w:rsid w:val="00F400BC"/>
    <w:rsid w:val="00F42FEA"/>
    <w:rsid w:val="00F4332A"/>
    <w:rsid w:val="00F45E4A"/>
    <w:rsid w:val="00F5029A"/>
    <w:rsid w:val="00F50570"/>
    <w:rsid w:val="00F51C34"/>
    <w:rsid w:val="00F51D81"/>
    <w:rsid w:val="00F51E2F"/>
    <w:rsid w:val="00F535BA"/>
    <w:rsid w:val="00F5408A"/>
    <w:rsid w:val="00F548FE"/>
    <w:rsid w:val="00F55108"/>
    <w:rsid w:val="00F57B28"/>
    <w:rsid w:val="00F61065"/>
    <w:rsid w:val="00F62686"/>
    <w:rsid w:val="00F63187"/>
    <w:rsid w:val="00F63898"/>
    <w:rsid w:val="00F63D7E"/>
    <w:rsid w:val="00F66382"/>
    <w:rsid w:val="00F668BD"/>
    <w:rsid w:val="00F6704F"/>
    <w:rsid w:val="00F71308"/>
    <w:rsid w:val="00F71442"/>
    <w:rsid w:val="00F71EF5"/>
    <w:rsid w:val="00F73CA0"/>
    <w:rsid w:val="00F75AE6"/>
    <w:rsid w:val="00F76040"/>
    <w:rsid w:val="00F76606"/>
    <w:rsid w:val="00F77923"/>
    <w:rsid w:val="00F8028A"/>
    <w:rsid w:val="00F8132D"/>
    <w:rsid w:val="00F8148F"/>
    <w:rsid w:val="00F82702"/>
    <w:rsid w:val="00F83800"/>
    <w:rsid w:val="00F839AA"/>
    <w:rsid w:val="00F87C6D"/>
    <w:rsid w:val="00F90A9E"/>
    <w:rsid w:val="00F9132C"/>
    <w:rsid w:val="00F922D0"/>
    <w:rsid w:val="00F922DD"/>
    <w:rsid w:val="00F93231"/>
    <w:rsid w:val="00F9415E"/>
    <w:rsid w:val="00F943C8"/>
    <w:rsid w:val="00F94F5B"/>
    <w:rsid w:val="00F9569A"/>
    <w:rsid w:val="00F9618F"/>
    <w:rsid w:val="00F96869"/>
    <w:rsid w:val="00F97B5C"/>
    <w:rsid w:val="00FA00D4"/>
    <w:rsid w:val="00FA01BD"/>
    <w:rsid w:val="00FA06E8"/>
    <w:rsid w:val="00FA0BBD"/>
    <w:rsid w:val="00FA0F96"/>
    <w:rsid w:val="00FA3033"/>
    <w:rsid w:val="00FA3765"/>
    <w:rsid w:val="00FA3980"/>
    <w:rsid w:val="00FA4DF0"/>
    <w:rsid w:val="00FA636E"/>
    <w:rsid w:val="00FA6E23"/>
    <w:rsid w:val="00FA74A9"/>
    <w:rsid w:val="00FB1247"/>
    <w:rsid w:val="00FB2DCF"/>
    <w:rsid w:val="00FB37DB"/>
    <w:rsid w:val="00FB3E03"/>
    <w:rsid w:val="00FB465A"/>
    <w:rsid w:val="00FB6B82"/>
    <w:rsid w:val="00FB7486"/>
    <w:rsid w:val="00FB76A1"/>
    <w:rsid w:val="00FB7D0A"/>
    <w:rsid w:val="00FC2C79"/>
    <w:rsid w:val="00FC2DF9"/>
    <w:rsid w:val="00FC3CD2"/>
    <w:rsid w:val="00FC4EC2"/>
    <w:rsid w:val="00FC564B"/>
    <w:rsid w:val="00FD07BD"/>
    <w:rsid w:val="00FD216F"/>
    <w:rsid w:val="00FD2643"/>
    <w:rsid w:val="00FD3A7E"/>
    <w:rsid w:val="00FD4FD0"/>
    <w:rsid w:val="00FD5A7D"/>
    <w:rsid w:val="00FD6312"/>
    <w:rsid w:val="00FD6E1B"/>
    <w:rsid w:val="00FD6EF1"/>
    <w:rsid w:val="00FD7CD0"/>
    <w:rsid w:val="00FD7F88"/>
    <w:rsid w:val="00FE0685"/>
    <w:rsid w:val="00FE08BE"/>
    <w:rsid w:val="00FE2183"/>
    <w:rsid w:val="00FE2F78"/>
    <w:rsid w:val="00FE4175"/>
    <w:rsid w:val="00FE5093"/>
    <w:rsid w:val="00FE56B2"/>
    <w:rsid w:val="00FE67FB"/>
    <w:rsid w:val="00FE6CF6"/>
    <w:rsid w:val="00FF01A3"/>
    <w:rsid w:val="00FF1686"/>
    <w:rsid w:val="00FF2782"/>
    <w:rsid w:val="00FF36B1"/>
    <w:rsid w:val="00FF39F9"/>
    <w:rsid w:val="00FF551C"/>
    <w:rsid w:val="00FF7A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7CB662"/>
  <w15:docId w15:val="{3BF58DEC-68EA-4179-95DB-27FFFF5D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43BD"/>
  </w:style>
  <w:style w:type="paragraph" w:styleId="Titolo1">
    <w:name w:val="heading 1"/>
    <w:basedOn w:val="Normale"/>
    <w:next w:val="Normale"/>
    <w:link w:val="Titolo1Carattere"/>
    <w:uiPriority w:val="9"/>
    <w:qFormat/>
    <w:rsid w:val="00157229"/>
    <w:pPr>
      <w:keepNext/>
      <w:keepLines/>
      <w:numPr>
        <w:numId w:val="1"/>
      </w:numPr>
      <w:spacing w:before="600" w:after="240"/>
      <w:outlineLvl w:val="0"/>
    </w:pPr>
    <w:rPr>
      <w:rFonts w:ascii="Calibri" w:eastAsiaTheme="majorEastAsia" w:hAnsi="Calibri" w:cstheme="majorBidi"/>
      <w:b/>
      <w:sz w:val="24"/>
      <w:szCs w:val="32"/>
    </w:rPr>
  </w:style>
  <w:style w:type="paragraph" w:styleId="Titolo2">
    <w:name w:val="heading 2"/>
    <w:basedOn w:val="Normale"/>
    <w:next w:val="Normale"/>
    <w:link w:val="Titolo2Carattere"/>
    <w:uiPriority w:val="9"/>
    <w:unhideWhenUsed/>
    <w:qFormat/>
    <w:rsid w:val="00D36947"/>
    <w:pPr>
      <w:keepNext/>
      <w:keepLines/>
      <w:spacing w:before="480" w:after="240"/>
      <w:jc w:val="both"/>
      <w:outlineLvl w:val="1"/>
    </w:pPr>
    <w:rPr>
      <w:rFonts w:ascii="Calibri" w:eastAsiaTheme="majorEastAsia" w:hAnsi="Calibri" w:cstheme="majorBidi"/>
      <w:i/>
      <w:szCs w:val="26"/>
    </w:rPr>
  </w:style>
  <w:style w:type="paragraph" w:styleId="Titolo3">
    <w:name w:val="heading 3"/>
    <w:basedOn w:val="Normale"/>
    <w:next w:val="Normale"/>
    <w:link w:val="Titolo3Carattere"/>
    <w:uiPriority w:val="9"/>
    <w:unhideWhenUsed/>
    <w:qFormat/>
    <w:rsid w:val="0037631A"/>
    <w:pPr>
      <w:keepNext/>
      <w:keepLines/>
      <w:spacing w:before="480" w:after="120"/>
      <w:outlineLvl w:val="2"/>
    </w:pPr>
    <w:rPr>
      <w:rFonts w:ascii="Calibri" w:eastAsiaTheme="majorEastAsia" w:hAnsi="Calibri" w:cstheme="majorBidi"/>
      <w:b/>
      <w:i/>
      <w:sz w:val="24"/>
      <w:szCs w:val="24"/>
    </w:rPr>
  </w:style>
  <w:style w:type="paragraph" w:styleId="Titolo5">
    <w:name w:val="heading 5"/>
    <w:basedOn w:val="Normale"/>
    <w:next w:val="Normale"/>
    <w:link w:val="Titolo5Carattere"/>
    <w:autoRedefine/>
    <w:uiPriority w:val="9"/>
    <w:unhideWhenUsed/>
    <w:qFormat/>
    <w:rsid w:val="00193652"/>
    <w:pPr>
      <w:keepNext/>
      <w:keepLines/>
      <w:spacing w:before="40" w:after="0" w:line="240" w:lineRule="auto"/>
      <w:outlineLvl w:val="4"/>
    </w:pPr>
    <w:rPr>
      <w:rFonts w:eastAsiaTheme="majorEastAsia" w:cstheme="majorBidi"/>
      <w:b/>
      <w:color w:val="54616C"/>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9648D"/>
    <w:pPr>
      <w:ind w:left="720"/>
      <w:contextualSpacing/>
    </w:pPr>
  </w:style>
  <w:style w:type="paragraph" w:styleId="Intestazione">
    <w:name w:val="header"/>
    <w:basedOn w:val="Normale"/>
    <w:link w:val="IntestazioneCarattere"/>
    <w:uiPriority w:val="99"/>
    <w:unhideWhenUsed/>
    <w:rsid w:val="00D051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0513B"/>
  </w:style>
  <w:style w:type="paragraph" w:styleId="Pidipagina">
    <w:name w:val="footer"/>
    <w:basedOn w:val="Normale"/>
    <w:link w:val="PidipaginaCarattere"/>
    <w:uiPriority w:val="99"/>
    <w:unhideWhenUsed/>
    <w:rsid w:val="00D051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0513B"/>
  </w:style>
  <w:style w:type="paragraph" w:styleId="Testonotaapidipagina">
    <w:name w:val="footnote text"/>
    <w:basedOn w:val="Normale"/>
    <w:link w:val="TestonotaapidipaginaCarattere"/>
    <w:autoRedefine/>
    <w:unhideWhenUsed/>
    <w:qFormat/>
    <w:rsid w:val="00D36947"/>
    <w:pPr>
      <w:tabs>
        <w:tab w:val="left" w:pos="5670"/>
      </w:tabs>
      <w:spacing w:after="0" w:line="240" w:lineRule="auto"/>
      <w:contextualSpacing/>
      <w:jc w:val="both"/>
    </w:pPr>
    <w:rPr>
      <w:sz w:val="18"/>
      <w:szCs w:val="18"/>
    </w:rPr>
  </w:style>
  <w:style w:type="character" w:customStyle="1" w:styleId="TestonotaapidipaginaCarattere">
    <w:name w:val="Testo nota a piè di pagina Carattere"/>
    <w:basedOn w:val="Carpredefinitoparagrafo"/>
    <w:link w:val="Testonotaapidipagina"/>
    <w:rsid w:val="00D36947"/>
    <w:rPr>
      <w:sz w:val="18"/>
      <w:szCs w:val="18"/>
    </w:rPr>
  </w:style>
  <w:style w:type="character" w:styleId="Rimandonotaapidipagina">
    <w:name w:val="footnote reference"/>
    <w:basedOn w:val="Carpredefinitoparagrafo"/>
    <w:unhideWhenUsed/>
    <w:rsid w:val="00AE257B"/>
    <w:rPr>
      <w:vertAlign w:val="superscript"/>
    </w:rPr>
  </w:style>
  <w:style w:type="paragraph" w:styleId="Testonormale">
    <w:name w:val="Plain Text"/>
    <w:basedOn w:val="Normale"/>
    <w:link w:val="TestonormaleCarattere"/>
    <w:uiPriority w:val="99"/>
    <w:unhideWhenUsed/>
    <w:rsid w:val="00F15963"/>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F15963"/>
    <w:rPr>
      <w:rFonts w:ascii="Calibri" w:hAnsi="Calibri"/>
      <w:szCs w:val="21"/>
    </w:rPr>
  </w:style>
  <w:style w:type="character" w:customStyle="1" w:styleId="apple-converted-space">
    <w:name w:val="apple-converted-space"/>
    <w:basedOn w:val="Carpredefinitoparagrafo"/>
    <w:rsid w:val="002E5AB4"/>
  </w:style>
  <w:style w:type="character" w:styleId="Collegamentoipertestuale">
    <w:name w:val="Hyperlink"/>
    <w:basedOn w:val="Carpredefinitoparagrafo"/>
    <w:uiPriority w:val="99"/>
    <w:unhideWhenUsed/>
    <w:rsid w:val="002E5AB4"/>
    <w:rPr>
      <w:color w:val="0000FF"/>
      <w:u w:val="single"/>
    </w:rPr>
  </w:style>
  <w:style w:type="character" w:styleId="Enfasicorsivo">
    <w:name w:val="Emphasis"/>
    <w:basedOn w:val="Carpredefinitoparagrafo"/>
    <w:uiPriority w:val="20"/>
    <w:qFormat/>
    <w:rsid w:val="00F9132C"/>
    <w:rPr>
      <w:i/>
      <w:iCs/>
    </w:rPr>
  </w:style>
  <w:style w:type="character" w:styleId="Enfasigrassetto">
    <w:name w:val="Strong"/>
    <w:basedOn w:val="Carpredefinitoparagrafo"/>
    <w:uiPriority w:val="22"/>
    <w:qFormat/>
    <w:rsid w:val="00F9132C"/>
    <w:rPr>
      <w:b/>
      <w:bCs/>
    </w:rPr>
  </w:style>
  <w:style w:type="paragraph" w:styleId="Revisione">
    <w:name w:val="Revision"/>
    <w:hidden/>
    <w:uiPriority w:val="99"/>
    <w:semiHidden/>
    <w:rsid w:val="00D7029F"/>
    <w:pPr>
      <w:spacing w:after="0" w:line="240" w:lineRule="auto"/>
    </w:pPr>
  </w:style>
  <w:style w:type="paragraph" w:styleId="Testofumetto">
    <w:name w:val="Balloon Text"/>
    <w:basedOn w:val="Normale"/>
    <w:link w:val="TestofumettoCarattere"/>
    <w:uiPriority w:val="99"/>
    <w:semiHidden/>
    <w:unhideWhenUsed/>
    <w:rsid w:val="00D7029F"/>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D7029F"/>
    <w:rPr>
      <w:rFonts w:ascii="Lucida Grande" w:hAnsi="Lucida Grande"/>
      <w:sz w:val="18"/>
      <w:szCs w:val="18"/>
    </w:rPr>
  </w:style>
  <w:style w:type="table" w:styleId="Grigliatabella">
    <w:name w:val="Table Grid"/>
    <w:basedOn w:val="Tabellanormale"/>
    <w:uiPriority w:val="59"/>
    <w:rsid w:val="00220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uiPriority w:val="9"/>
    <w:rsid w:val="00193652"/>
    <w:rPr>
      <w:rFonts w:eastAsiaTheme="majorEastAsia" w:cstheme="majorBidi"/>
      <w:b/>
      <w:color w:val="54616C"/>
      <w:sz w:val="24"/>
      <w:szCs w:val="24"/>
    </w:rPr>
  </w:style>
  <w:style w:type="paragraph" w:styleId="Titolo">
    <w:name w:val="Title"/>
    <w:basedOn w:val="Normale"/>
    <w:next w:val="Normale"/>
    <w:link w:val="TitoloCarattere"/>
    <w:autoRedefine/>
    <w:uiPriority w:val="10"/>
    <w:qFormat/>
    <w:rsid w:val="00553C8D"/>
    <w:pPr>
      <w:keepNext/>
      <w:spacing w:before="40" w:after="0" w:line="240" w:lineRule="auto"/>
      <w:ind w:right="-675"/>
    </w:pPr>
    <w:rPr>
      <w:rFonts w:ascii="Times New Roman" w:eastAsia="Calibri" w:hAnsi="Times New Roman" w:cs="Times New Roman"/>
      <w:b/>
      <w:sz w:val="24"/>
      <w:szCs w:val="24"/>
    </w:rPr>
  </w:style>
  <w:style w:type="character" w:customStyle="1" w:styleId="TitoloCarattere">
    <w:name w:val="Titolo Carattere"/>
    <w:basedOn w:val="Carpredefinitoparagrafo"/>
    <w:link w:val="Titolo"/>
    <w:uiPriority w:val="10"/>
    <w:rsid w:val="00553C8D"/>
    <w:rPr>
      <w:rFonts w:ascii="Times New Roman" w:eastAsia="Calibri" w:hAnsi="Times New Roman" w:cs="Times New Roman"/>
      <w:b/>
      <w:sz w:val="24"/>
      <w:szCs w:val="24"/>
    </w:rPr>
  </w:style>
  <w:style w:type="paragraph" w:styleId="Sottotitolo">
    <w:name w:val="Subtitle"/>
    <w:basedOn w:val="Normale"/>
    <w:next w:val="Normale"/>
    <w:link w:val="SottotitoloCarattere"/>
    <w:autoRedefine/>
    <w:uiPriority w:val="11"/>
    <w:qFormat/>
    <w:rsid w:val="00193652"/>
    <w:pPr>
      <w:numPr>
        <w:ilvl w:val="1"/>
      </w:numPr>
      <w:spacing w:before="240" w:after="160" w:line="240" w:lineRule="auto"/>
    </w:pPr>
    <w:rPr>
      <w:rFonts w:eastAsiaTheme="minorEastAsia"/>
      <w:color w:val="5A5A5A" w:themeColor="text1" w:themeTint="A5"/>
      <w:spacing w:val="15"/>
      <w:sz w:val="36"/>
    </w:rPr>
  </w:style>
  <w:style w:type="character" w:customStyle="1" w:styleId="SottotitoloCarattere">
    <w:name w:val="Sottotitolo Carattere"/>
    <w:basedOn w:val="Carpredefinitoparagrafo"/>
    <w:link w:val="Sottotitolo"/>
    <w:uiPriority w:val="11"/>
    <w:rsid w:val="00193652"/>
    <w:rPr>
      <w:rFonts w:eastAsiaTheme="minorEastAsia"/>
      <w:color w:val="5A5A5A" w:themeColor="text1" w:themeTint="A5"/>
      <w:spacing w:val="15"/>
      <w:sz w:val="36"/>
    </w:rPr>
  </w:style>
  <w:style w:type="paragraph" w:customStyle="1" w:styleId="Categoria">
    <w:name w:val="Categoria"/>
    <w:basedOn w:val="Normale"/>
    <w:qFormat/>
    <w:rsid w:val="00193652"/>
    <w:pPr>
      <w:spacing w:before="240" w:after="0" w:line="240" w:lineRule="auto"/>
    </w:pPr>
    <w:rPr>
      <w:b/>
      <w:bCs/>
      <w:caps/>
      <w:sz w:val="20"/>
      <w:szCs w:val="20"/>
      <w:lang w:val="en-GB"/>
    </w:rPr>
  </w:style>
  <w:style w:type="paragraph" w:customStyle="1" w:styleId="Data1">
    <w:name w:val="Data1"/>
    <w:basedOn w:val="Categoria"/>
    <w:qFormat/>
    <w:rsid w:val="00193652"/>
    <w:rPr>
      <w:caps w:val="0"/>
    </w:rPr>
  </w:style>
  <w:style w:type="paragraph" w:styleId="Sommario1">
    <w:name w:val="toc 1"/>
    <w:basedOn w:val="Normale"/>
    <w:next w:val="Normale"/>
    <w:autoRedefine/>
    <w:uiPriority w:val="39"/>
    <w:unhideWhenUsed/>
    <w:rsid w:val="007B161D"/>
    <w:pPr>
      <w:tabs>
        <w:tab w:val="left" w:pos="284"/>
        <w:tab w:val="right" w:leader="dot" w:pos="9060"/>
      </w:tabs>
      <w:spacing w:before="480" w:after="240" w:line="240" w:lineRule="auto"/>
      <w:jc w:val="both"/>
    </w:pPr>
    <w:rPr>
      <w:b/>
      <w:smallCaps/>
      <w:noProof/>
      <w:sz w:val="25"/>
      <w:szCs w:val="24"/>
      <w:lang w:val="en-GB"/>
    </w:rPr>
  </w:style>
  <w:style w:type="paragraph" w:styleId="Sommario2">
    <w:name w:val="toc 2"/>
    <w:basedOn w:val="Normale"/>
    <w:next w:val="Normale"/>
    <w:autoRedefine/>
    <w:uiPriority w:val="39"/>
    <w:unhideWhenUsed/>
    <w:rsid w:val="007B161D"/>
    <w:pPr>
      <w:tabs>
        <w:tab w:val="left" w:pos="1276"/>
        <w:tab w:val="right" w:leader="dot" w:pos="9060"/>
      </w:tabs>
      <w:spacing w:before="120" w:after="120" w:line="300" w:lineRule="auto"/>
      <w:ind w:left="709" w:right="567" w:hanging="425"/>
      <w:jc w:val="both"/>
    </w:pPr>
    <w:rPr>
      <w:lang w:val="en-GB"/>
    </w:rPr>
  </w:style>
  <w:style w:type="paragraph" w:styleId="Sommario3">
    <w:name w:val="toc 3"/>
    <w:basedOn w:val="Normale"/>
    <w:next w:val="Normale"/>
    <w:autoRedefine/>
    <w:uiPriority w:val="39"/>
    <w:unhideWhenUsed/>
    <w:rsid w:val="0035708C"/>
    <w:pPr>
      <w:spacing w:after="0" w:line="324" w:lineRule="auto"/>
      <w:ind w:left="482"/>
    </w:pPr>
    <w:rPr>
      <w:sz w:val="21"/>
      <w:lang w:val="en-GB"/>
    </w:rPr>
  </w:style>
  <w:style w:type="character" w:customStyle="1" w:styleId="Titolo1Carattere">
    <w:name w:val="Titolo 1 Carattere"/>
    <w:basedOn w:val="Carpredefinitoparagrafo"/>
    <w:link w:val="Titolo1"/>
    <w:uiPriority w:val="9"/>
    <w:rsid w:val="00157229"/>
    <w:rPr>
      <w:rFonts w:ascii="Calibri" w:eastAsiaTheme="majorEastAsia" w:hAnsi="Calibri" w:cstheme="majorBidi"/>
      <w:b/>
      <w:sz w:val="24"/>
      <w:szCs w:val="32"/>
    </w:rPr>
  </w:style>
  <w:style w:type="paragraph" w:styleId="Titolosommario">
    <w:name w:val="TOC Heading"/>
    <w:basedOn w:val="Titolo1"/>
    <w:next w:val="Normale"/>
    <w:uiPriority w:val="39"/>
    <w:unhideWhenUsed/>
    <w:qFormat/>
    <w:rsid w:val="00B559DC"/>
    <w:pPr>
      <w:outlineLvl w:val="9"/>
    </w:pPr>
  </w:style>
  <w:style w:type="paragraph" w:styleId="NormaleWeb">
    <w:name w:val="Normal (Web)"/>
    <w:basedOn w:val="Normale"/>
    <w:uiPriority w:val="99"/>
    <w:unhideWhenUsed/>
    <w:rsid w:val="003437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D36947"/>
    <w:rPr>
      <w:rFonts w:ascii="Calibri" w:eastAsiaTheme="majorEastAsia" w:hAnsi="Calibri" w:cstheme="majorBidi"/>
      <w:i/>
      <w:szCs w:val="26"/>
    </w:rPr>
  </w:style>
  <w:style w:type="character" w:styleId="Rimandocommento">
    <w:name w:val="annotation reference"/>
    <w:basedOn w:val="Carpredefinitoparagrafo"/>
    <w:uiPriority w:val="99"/>
    <w:semiHidden/>
    <w:unhideWhenUsed/>
    <w:rsid w:val="00BE2BDE"/>
    <w:rPr>
      <w:sz w:val="16"/>
      <w:szCs w:val="16"/>
    </w:rPr>
  </w:style>
  <w:style w:type="paragraph" w:styleId="Testocommento">
    <w:name w:val="annotation text"/>
    <w:basedOn w:val="Normale"/>
    <w:link w:val="TestocommentoCarattere"/>
    <w:uiPriority w:val="99"/>
    <w:semiHidden/>
    <w:unhideWhenUsed/>
    <w:rsid w:val="00BE2BD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BE2BDE"/>
    <w:rPr>
      <w:sz w:val="20"/>
      <w:szCs w:val="20"/>
    </w:rPr>
  </w:style>
  <w:style w:type="paragraph" w:styleId="Soggettocommento">
    <w:name w:val="annotation subject"/>
    <w:basedOn w:val="Testocommento"/>
    <w:next w:val="Testocommento"/>
    <w:link w:val="SoggettocommentoCarattere"/>
    <w:uiPriority w:val="99"/>
    <w:semiHidden/>
    <w:unhideWhenUsed/>
    <w:rsid w:val="00BE2BDE"/>
    <w:rPr>
      <w:b/>
      <w:bCs/>
    </w:rPr>
  </w:style>
  <w:style w:type="character" w:customStyle="1" w:styleId="SoggettocommentoCarattere">
    <w:name w:val="Soggetto commento Carattere"/>
    <w:basedOn w:val="TestocommentoCarattere"/>
    <w:link w:val="Soggettocommento"/>
    <w:uiPriority w:val="99"/>
    <w:semiHidden/>
    <w:rsid w:val="00BE2BDE"/>
    <w:rPr>
      <w:b/>
      <w:bCs/>
      <w:sz w:val="20"/>
      <w:szCs w:val="20"/>
    </w:rPr>
  </w:style>
  <w:style w:type="character" w:customStyle="1" w:styleId="Rimandonotaapidipagina1">
    <w:name w:val="Rimando nota a piè di pagina1"/>
    <w:basedOn w:val="Carpredefinitoparagrafo"/>
    <w:rsid w:val="003D68BC"/>
  </w:style>
  <w:style w:type="character" w:customStyle="1" w:styleId="Caratteredellanota">
    <w:name w:val="Carattere della nota"/>
    <w:rsid w:val="003D68BC"/>
  </w:style>
  <w:style w:type="paragraph" w:customStyle="1" w:styleId="Testonotaapidipagina1">
    <w:name w:val="Testo nota a piè di pagina1"/>
    <w:basedOn w:val="Normale"/>
    <w:rsid w:val="003D68BC"/>
    <w:pPr>
      <w:suppressAutoHyphens/>
      <w:spacing w:after="160" w:line="256" w:lineRule="auto"/>
    </w:pPr>
    <w:rPr>
      <w:rFonts w:ascii="Calibri" w:eastAsia="SimSun" w:hAnsi="Calibri" w:cs="font290"/>
      <w:kern w:val="1"/>
      <w:lang w:eastAsia="ar-SA"/>
    </w:rPr>
  </w:style>
  <w:style w:type="paragraph" w:customStyle="1" w:styleId="Paragrafoelenco1">
    <w:name w:val="Paragrafo elenco1"/>
    <w:basedOn w:val="Normale"/>
    <w:rsid w:val="003D68BC"/>
    <w:pPr>
      <w:suppressAutoHyphens/>
      <w:spacing w:after="160" w:line="256" w:lineRule="auto"/>
    </w:pPr>
    <w:rPr>
      <w:rFonts w:ascii="Calibri" w:eastAsia="SimSun" w:hAnsi="Calibri" w:cs="font290"/>
      <w:kern w:val="1"/>
      <w:lang w:eastAsia="ar-SA"/>
    </w:rPr>
  </w:style>
  <w:style w:type="character" w:customStyle="1" w:styleId="Rimandonotaapidipagina2">
    <w:name w:val="Rimando nota a piè di pagina2"/>
    <w:basedOn w:val="Carpredefinitoparagrafo"/>
    <w:rsid w:val="0053371E"/>
  </w:style>
  <w:style w:type="paragraph" w:customStyle="1" w:styleId="Testonotaapidipagina2">
    <w:name w:val="Testo nota a piè di pagina2"/>
    <w:basedOn w:val="Normale"/>
    <w:rsid w:val="0053371E"/>
    <w:pPr>
      <w:suppressAutoHyphens/>
      <w:spacing w:after="160" w:line="256" w:lineRule="auto"/>
    </w:pPr>
    <w:rPr>
      <w:rFonts w:ascii="Calibri" w:eastAsia="SimSun" w:hAnsi="Calibri" w:cs="font265"/>
      <w:kern w:val="1"/>
      <w:lang w:eastAsia="ar-SA"/>
    </w:rPr>
  </w:style>
  <w:style w:type="paragraph" w:customStyle="1" w:styleId="Paragrafoelenco2">
    <w:name w:val="Paragrafo elenco2"/>
    <w:basedOn w:val="Normale"/>
    <w:rsid w:val="0053371E"/>
    <w:pPr>
      <w:suppressAutoHyphens/>
      <w:spacing w:after="160" w:line="256" w:lineRule="auto"/>
    </w:pPr>
    <w:rPr>
      <w:rFonts w:ascii="Calibri" w:eastAsia="SimSun" w:hAnsi="Calibri" w:cs="font265"/>
      <w:kern w:val="1"/>
      <w:lang w:eastAsia="ar-SA"/>
    </w:rPr>
  </w:style>
  <w:style w:type="character" w:customStyle="1" w:styleId="Rimandonotaapidipagina3">
    <w:name w:val="Rimando nota a piè di pagina3"/>
    <w:basedOn w:val="Carpredefinitoparagrafo"/>
    <w:rsid w:val="00EC0E48"/>
  </w:style>
  <w:style w:type="paragraph" w:customStyle="1" w:styleId="Testonotaapidipagina3">
    <w:name w:val="Testo nota a piè di pagina3"/>
    <w:basedOn w:val="Normale"/>
    <w:rsid w:val="00EC0E48"/>
    <w:pPr>
      <w:suppressAutoHyphens/>
      <w:spacing w:after="160" w:line="256" w:lineRule="auto"/>
    </w:pPr>
    <w:rPr>
      <w:rFonts w:ascii="Calibri" w:eastAsia="SimSun" w:hAnsi="Calibri" w:cs="font269"/>
      <w:kern w:val="1"/>
      <w:lang w:eastAsia="ar-SA"/>
    </w:rPr>
  </w:style>
  <w:style w:type="paragraph" w:customStyle="1" w:styleId="Paragrafoelenco3">
    <w:name w:val="Paragrafo elenco3"/>
    <w:basedOn w:val="Normale"/>
    <w:rsid w:val="00EC0E48"/>
    <w:pPr>
      <w:suppressAutoHyphens/>
      <w:spacing w:after="160" w:line="256" w:lineRule="auto"/>
    </w:pPr>
    <w:rPr>
      <w:rFonts w:ascii="Calibri" w:eastAsia="SimSun" w:hAnsi="Calibri" w:cs="font269"/>
      <w:kern w:val="1"/>
      <w:lang w:eastAsia="ar-SA"/>
    </w:rPr>
  </w:style>
  <w:style w:type="character" w:customStyle="1" w:styleId="Titolo3Carattere">
    <w:name w:val="Titolo 3 Carattere"/>
    <w:basedOn w:val="Carpredefinitoparagrafo"/>
    <w:link w:val="Titolo3"/>
    <w:uiPriority w:val="9"/>
    <w:rsid w:val="0037631A"/>
    <w:rPr>
      <w:rFonts w:ascii="Calibri" w:eastAsiaTheme="majorEastAsia" w:hAnsi="Calibri" w:cstheme="majorBidi"/>
      <w:b/>
      <w:i/>
      <w:sz w:val="24"/>
      <w:szCs w:val="24"/>
    </w:rPr>
  </w:style>
  <w:style w:type="character" w:customStyle="1" w:styleId="Menzionenonrisolta1">
    <w:name w:val="Menzione non risolta1"/>
    <w:basedOn w:val="Carpredefinitoparagrafo"/>
    <w:uiPriority w:val="99"/>
    <w:semiHidden/>
    <w:unhideWhenUsed/>
    <w:rsid w:val="00F3598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09414">
      <w:bodyDiv w:val="1"/>
      <w:marLeft w:val="0"/>
      <w:marRight w:val="0"/>
      <w:marTop w:val="0"/>
      <w:marBottom w:val="0"/>
      <w:divBdr>
        <w:top w:val="none" w:sz="0" w:space="0" w:color="auto"/>
        <w:left w:val="none" w:sz="0" w:space="0" w:color="auto"/>
        <w:bottom w:val="none" w:sz="0" w:space="0" w:color="auto"/>
        <w:right w:val="none" w:sz="0" w:space="0" w:color="auto"/>
      </w:divBdr>
    </w:div>
    <w:div w:id="377706486">
      <w:bodyDiv w:val="1"/>
      <w:marLeft w:val="0"/>
      <w:marRight w:val="0"/>
      <w:marTop w:val="0"/>
      <w:marBottom w:val="0"/>
      <w:divBdr>
        <w:top w:val="none" w:sz="0" w:space="0" w:color="auto"/>
        <w:left w:val="none" w:sz="0" w:space="0" w:color="auto"/>
        <w:bottom w:val="none" w:sz="0" w:space="0" w:color="auto"/>
        <w:right w:val="none" w:sz="0" w:space="0" w:color="auto"/>
      </w:divBdr>
    </w:div>
    <w:div w:id="508910844">
      <w:bodyDiv w:val="1"/>
      <w:marLeft w:val="0"/>
      <w:marRight w:val="0"/>
      <w:marTop w:val="0"/>
      <w:marBottom w:val="0"/>
      <w:divBdr>
        <w:top w:val="none" w:sz="0" w:space="0" w:color="auto"/>
        <w:left w:val="none" w:sz="0" w:space="0" w:color="auto"/>
        <w:bottom w:val="none" w:sz="0" w:space="0" w:color="auto"/>
        <w:right w:val="none" w:sz="0" w:space="0" w:color="auto"/>
      </w:divBdr>
    </w:div>
    <w:div w:id="722601603">
      <w:bodyDiv w:val="1"/>
      <w:marLeft w:val="0"/>
      <w:marRight w:val="0"/>
      <w:marTop w:val="0"/>
      <w:marBottom w:val="0"/>
      <w:divBdr>
        <w:top w:val="none" w:sz="0" w:space="0" w:color="auto"/>
        <w:left w:val="none" w:sz="0" w:space="0" w:color="auto"/>
        <w:bottom w:val="none" w:sz="0" w:space="0" w:color="auto"/>
        <w:right w:val="none" w:sz="0" w:space="0" w:color="auto"/>
      </w:divBdr>
    </w:div>
    <w:div w:id="1124276737">
      <w:bodyDiv w:val="1"/>
      <w:marLeft w:val="0"/>
      <w:marRight w:val="0"/>
      <w:marTop w:val="0"/>
      <w:marBottom w:val="0"/>
      <w:divBdr>
        <w:top w:val="none" w:sz="0" w:space="0" w:color="auto"/>
        <w:left w:val="none" w:sz="0" w:space="0" w:color="auto"/>
        <w:bottom w:val="none" w:sz="0" w:space="0" w:color="auto"/>
        <w:right w:val="none" w:sz="0" w:space="0" w:color="auto"/>
      </w:divBdr>
    </w:div>
    <w:div w:id="1515614007">
      <w:bodyDiv w:val="1"/>
      <w:marLeft w:val="0"/>
      <w:marRight w:val="0"/>
      <w:marTop w:val="0"/>
      <w:marBottom w:val="0"/>
      <w:divBdr>
        <w:top w:val="none" w:sz="0" w:space="0" w:color="auto"/>
        <w:left w:val="none" w:sz="0" w:space="0" w:color="auto"/>
        <w:bottom w:val="none" w:sz="0" w:space="0" w:color="auto"/>
        <w:right w:val="none" w:sz="0" w:space="0" w:color="auto"/>
      </w:divBdr>
    </w:div>
    <w:div w:id="1587497565">
      <w:bodyDiv w:val="1"/>
      <w:marLeft w:val="0"/>
      <w:marRight w:val="0"/>
      <w:marTop w:val="0"/>
      <w:marBottom w:val="0"/>
      <w:divBdr>
        <w:top w:val="none" w:sz="0" w:space="0" w:color="auto"/>
        <w:left w:val="none" w:sz="0" w:space="0" w:color="auto"/>
        <w:bottom w:val="none" w:sz="0" w:space="0" w:color="auto"/>
        <w:right w:val="none" w:sz="0" w:space="0" w:color="auto"/>
      </w:divBdr>
    </w:div>
    <w:div w:id="184485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C4E8D-D084-4E12-B4DE-D8529AD2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6426</Words>
  <Characters>36630</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Pompilio</dc:creator>
  <cp:lastModifiedBy>Sergio D'Elia</cp:lastModifiedBy>
  <cp:revision>6</cp:revision>
  <cp:lastPrinted>2020-11-20T15:21:00Z</cp:lastPrinted>
  <dcterms:created xsi:type="dcterms:W3CDTF">2020-11-20T14:50:00Z</dcterms:created>
  <dcterms:modified xsi:type="dcterms:W3CDTF">2020-11-20T15:22:00Z</dcterms:modified>
</cp:coreProperties>
</file>